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1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370205</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8"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15(d) OF THE SECURITIES EXCHANGE ACT OF 1934</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26"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4"/>
          <w:szCs w:val="14"/>
          <w:color w:val="auto"/>
        </w:rPr>
        <w:t>or</w:t>
      </w:r>
    </w:p>
    <w:p>
      <w:pPr>
        <w:spacing w:after="0" w:line="61"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15(d) OF THE SECURITIES EXCHANGE ACT OF 1934</w:t>
      </w:r>
    </w:p>
    <w:p>
      <w:pPr>
        <w:spacing w:after="0" w:line="208" w:lineRule="exact"/>
        <w:rPr>
          <w:sz w:val="24"/>
          <w:szCs w:val="24"/>
          <w:color w:val="auto"/>
        </w:rPr>
      </w:pPr>
    </w:p>
    <w:p>
      <w:pPr>
        <w:ind w:left="4080"/>
        <w:spacing w:after="0"/>
        <w:tabs>
          <w:tab w:leader="none" w:pos="66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38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 Full title of the plan and the address of the plan, if different from that of the issuer named below:</w:t>
      </w:r>
    </w:p>
    <w:p>
      <w:pPr>
        <w:spacing w:after="0" w:line="233" w:lineRule="exact"/>
        <w:rPr>
          <w:sz w:val="24"/>
          <w:szCs w:val="24"/>
          <w:color w:val="auto"/>
        </w:rPr>
      </w:pPr>
    </w:p>
    <w:p>
      <w:pPr>
        <w:jc w:val="right"/>
        <w:ind w:right="1159"/>
        <w:spacing w:after="0"/>
        <w:rPr>
          <w:sz w:val="20"/>
          <w:szCs w:val="20"/>
          <w:color w:val="auto"/>
        </w:rPr>
      </w:pPr>
      <w:r>
        <w:rPr>
          <w:rFonts w:ascii="Times New Roman" w:cs="Times New Roman" w:eastAsia="Times New Roman" w:hAnsi="Times New Roman"/>
          <w:sz w:val="25"/>
          <w:szCs w:val="25"/>
          <w:b w:val="1"/>
          <w:bCs w:val="1"/>
          <w:color w:val="auto"/>
        </w:rPr>
        <w:t>Charter Communications, Inc. Retirement Accumulation Plan</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1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400 Washington Blvd.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2033270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4200"/>
        <w:spacing w:after="0"/>
        <w:rPr>
          <w:sz w:val="20"/>
          <w:szCs w:val="20"/>
          <w:color w:val="auto"/>
        </w:rPr>
      </w:pPr>
      <w:r>
        <w:rPr>
          <w:rFonts w:ascii="Times New Roman" w:cs="Times New Roman" w:eastAsia="Times New Roman" w:hAnsi="Times New Roman"/>
          <w:sz w:val="22"/>
          <w:szCs w:val="22"/>
          <w:b w:val="1"/>
          <w:bCs w:val="1"/>
          <w:color w:val="auto"/>
        </w:rPr>
        <w:t>Charter Communications, Inc.</w:t>
      </w:r>
    </w:p>
    <w:p>
      <w:pPr>
        <w:spacing w:after="0" w:line="7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Retirement Accumulation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15"/>
        </w:trPr>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00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10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9"/>
        </w:trPr>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1020" w:type="dxa"/>
            <w:vAlign w:val="bottom"/>
          </w:tcPr>
          <w:p>
            <w:pPr>
              <w:spacing w:after="0"/>
              <w:rPr>
                <w:sz w:val="24"/>
                <w:szCs w:val="24"/>
                <w:color w:val="auto"/>
              </w:rPr>
            </w:pPr>
          </w:p>
        </w:tc>
      </w:tr>
      <w:tr>
        <w:trPr>
          <w:trHeight w:val="480"/>
        </w:trPr>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1020" w:type="dxa"/>
            <w:vAlign w:val="bottom"/>
          </w:tcPr>
          <w:p>
            <w:pPr>
              <w:spacing w:after="0"/>
              <w:rPr>
                <w:sz w:val="24"/>
                <w:szCs w:val="24"/>
                <w:color w:val="auto"/>
              </w:rPr>
            </w:pPr>
          </w:p>
        </w:tc>
      </w:tr>
      <w:tr>
        <w:trPr>
          <w:trHeight w:val="4199"/>
        </w:trPr>
        <w:tc>
          <w:tcPr>
            <w:tcW w:w="10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Governance Committee and Plan Administrator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 Retirement Accumulation Plan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Charter Communications, Inc. Retirement Accumulation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MO June 18,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2017.</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4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5"/>
                <w:szCs w:val="15"/>
                <w:i w:val="1"/>
                <w:iCs w:val="1"/>
                <w:color w:val="auto"/>
              </w:rPr>
              <w:t>(in thousands)</w:t>
            </w:r>
          </w:p>
        </w:tc>
        <w:tc>
          <w:tcPr>
            <w:tcW w:w="7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7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09"/>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in the Charter Communications, Inc. Defined Contribution Plans Master Trust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fair value (Note 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1,455,147</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At contract value (Note 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the Charter Communications, Inc. Defined Contribution Plans Master Trust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1,471,132</w:t>
            </w: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3"/>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1,475,077</w:t>
            </w:r>
          </w:p>
        </w:tc>
      </w:tr>
      <w:tr>
        <w:trPr>
          <w:trHeight w:val="250"/>
        </w:trPr>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1,474,982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8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Additions:</w:t>
            </w: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 in the Charter Communications, Inc. Defined Contribution Plans Master Trust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244,882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Qualified Defined Benefit Pension Plan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Charter Communications, Inc. Retirement Accumulation Plan (the "Plan") is provided for general information purposes only. Participants should refer to the Plan agreement for more complete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profit sharing, single employer plan administered by Charter Communications, Inc. ("Charter," "Company" or "Plan Administrator") under the provisions of Section 401(a) of the Internal Revenue Code, as amended ("IRC"), which includes a qualified deferred arrangement as defined in Section 401(k) of the IRC, for the benefit of eligible employees of Charter as defined in the Plan agreement. The Plan covers employees of Charter and its subsidiaries, collectively referred to herein as the Company. The Plan is subject to the provisions of the Employee Retirement Income Security Act of 1974, as amended ("ERISA").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Fidelity Management Trust Company ("Fidelity"), the Recordkeeper and Trustee, as defined below, holds the Plan's investment assets and executes investment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Trust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of the Plan, along with the assets of the Charter Communications, Inc. 401(k) Savings Plan (the "401(k)"), are invested in the Charter Communications, Inc. Defined Contribution Plans Master Trust (the "Master Trust"), for which the trustee is Fidelity (the "Trustee"). The Plan and the 401(k) are the only participating plans in the Master Trust. The Master Trust, through its investment managers, invests in a variety of investment funds ("Investment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employees of the Company become eligible to participate in the Plan on the first day of the calendar month coinciding with or following 90 days of employment. Most employees are generally eligible to participate. Employees covered by a collective bargaining agreement are not covered by this Plan unless their agreement expressly states eligibility.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may not contribute to the Plan. The employer contribution equals 3% of the participant's eligible payroll compensation. Effective January 1, 2025, employer contributions are made to the Plan annually following the close of that plan year provided the employee was employed by the Company on December 31 of that year.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in accordance with the IRC, could not recognize compensation in excess of $350 thousand for 2025, for purposes of contributions (which amounts will be adjusted in future years for cost-of-living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Transfer from Qualified Defined Benefit Pension Plan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Charter terminated its qualified pension plan which resulted in excess plan assets of approximately $80.3 million being transferred to the Plan as a transfer to a qualified replacement plan. This amount was used to fund a portion of the 2025 nonelective employer contributions.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participant may designate the percentage of contributions to be allocated to each of the available Investment Funds. In the absence of an investment election, contributions will be allocated to a default Investment Fund as designated by the Plan Administrator.</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Company's contribution and an allocation of earnings. Allocations of earnings are based on account balances on a pro rata basis, as described in the Plan agreement. Participant accounts are charged with an allocation of administrative expenses that are paid by the Plan. The benefit to which a participant is entitled is the benefit that can be provided from the participant's vested account balance.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contributions and the earnings thereon generally vest based upon a number of full years of service within a period of service,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198"/>
        </w:trPr>
        <w:tc>
          <w:tcPr>
            <w:tcW w:w="20" w:type="dxa"/>
            <w:vAlign w:val="bottom"/>
          </w:tcPr>
          <w:p>
            <w:pPr>
              <w:spacing w:after="0"/>
              <w:rPr>
                <w:sz w:val="17"/>
                <w:szCs w:val="17"/>
                <w:color w:val="auto"/>
              </w:rPr>
            </w:pPr>
          </w:p>
        </w:tc>
        <w:tc>
          <w:tcPr>
            <w:tcW w:w="9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 of Full Years within Period of Service</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6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3</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2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or more</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Nonvested amounts are forfeited if an employee terminates prior to fully vesting. In the event of the death or disability of a participant, the participant will automatically become fully vested.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lump sum cash distribution is the default distribution of a participant's vested portion of their account; however, upon termination of service or attainment of normal retirement age, there is no requirement for participants to commence payment of their vested benefit prior to age 73. Benefits distributed from all Investment Funds are paid in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Forfeited amounts may be used to reduce the amount of employer contributions and fees to the Plan. The total amount of unallocated forfeitures at December 31, 2025 and 2024 was $21.4 million and $974 thousand, respectively. Forfeitures used to reduce the amount of employer contributions and/or administrative expenses during the year ended December 31, 2025 were $1 thousand. In 2026, the Plan utilized $22.4 million of forfeitures to fund 2025 nonelective employer contributions.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2025, the Investment Funds available under the Plan consisted of three core actively managed funds, four passive index funds, ten target retirement date funds, a stable value fund, and a mutual fund window (a self-directed brokerage account). Employees may invest in shares of Charter Communications, Inc. Class A common stock. This investment is offered as a real-time traded investment option.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contributions are generally invested in specific increments in the Investment Funds. Participants are able to transfer account balances among the Investment Funds.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the Plan Administrator to make estimates and assumptions that affect the reported amounts of assets and liabilities and disclosure of contingent assets and liabilities at the date of the financial statements and the reported amounts of additions to and deductions from net assets available for benefits during the reporting period. Actual results could differ from those estimates.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Employer contributions are accrued in the period that payroll deductions are made from plan participants in accordance with salary deferral agreements and as such, become obligations of the Company and assets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held by the Plan are stated at fair value, except for fully-benefit responsive investment contracts which are stated at contract value. Fair value is the price which would be received to sell an asset or paid to transfer a liability in an orderly transaction between market participants at the measurement date (an exit price). See Note 4 for further discussion and disclosures related to fair value measurements. Contract value is the relevant measure for the portion of the net assets available for benefits of a defined contribution plan attributable to fully-benefit responsive investment contracts because contract value is the amount participants normally receive if they were to initiate permitted transactions under the terms of the Plan. See Note 6 for further discussion and disclosures related to contract value.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(depreciation) in fair value of investments includes the Plan's gains and losses on investments bought and sold as well as held during the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related benefits of employees under the Plan are provided by the Company. Other administrative expenses, primarily transaction fees and account fees, are paid by the Plan for active employees. Beginning January 1, 2025, the recordkeeping administrative expense will be assessed to the applicable participant's account. Investment related expenses are included in net investment gain (loss) in the Statement of Changes in Net Assets Available for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are recorded when paid.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evaluated subsequent events through June 18, 2026, the date the financial statements were available to be issued.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1, the Master Trust was established to hold the assets of the Plan and the 401(k). The Plan and the 401(k) are the only participating plans in the Master Trust. Investment income, realized gains (losses) on sales of investments, unrealized appreciation (depreciation) of investments, other receivables and other liabilities are allocated to the segregated asset portfolios within the Master Trust. In accordance with GAAP, the net change in value from participation in the Master Trust is reported as one line item in the Statement of Changes in Net Assets Available for Benefits and the Plan’s interest in the Master Trust is reported at fair value and contract value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available to participating plans in the Master Trust as of December 31, 2025 and 2024 are summarized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Master Trust</w:t>
            </w:r>
          </w:p>
        </w:tc>
        <w:tc>
          <w:tcPr>
            <w:tcW w:w="100" w:type="dxa"/>
            <w:vAlign w:val="bottom"/>
          </w:tcPr>
          <w:p>
            <w:pPr>
              <w:spacing w:after="0"/>
              <w:rPr>
                <w:sz w:val="13"/>
                <w:szCs w:val="13"/>
                <w:color w:val="auto"/>
              </w:rPr>
            </w:pPr>
          </w:p>
        </w:tc>
        <w:tc>
          <w:tcPr>
            <w:tcW w:w="1280" w:type="dxa"/>
            <w:vAlign w:val="bottom"/>
          </w:tcPr>
          <w:p>
            <w:pPr>
              <w:jc w:val="center"/>
              <w:ind w:right="12"/>
              <w:spacing w:after="0" w:line="155" w:lineRule="exact"/>
              <w:rPr>
                <w:sz w:val="20"/>
                <w:szCs w:val="20"/>
                <w:color w:val="auto"/>
              </w:rPr>
            </w:pPr>
            <w:r>
              <w:rPr>
                <w:rFonts w:ascii="Times New Roman" w:cs="Times New Roman" w:eastAsia="Times New Roman" w:hAnsi="Times New Roman"/>
                <w:sz w:val="16"/>
                <w:szCs w:val="16"/>
                <w:b w:val="1"/>
                <w:bCs w:val="1"/>
                <w:color w:val="auto"/>
              </w:rPr>
              <w:t>Plan's Interest in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Master Trust</w:t>
            </w:r>
          </w:p>
        </w:tc>
        <w:tc>
          <w:tcPr>
            <w:tcW w:w="120" w:type="dxa"/>
            <w:vAlign w:val="bottom"/>
          </w:tcPr>
          <w:p>
            <w:pPr>
              <w:spacing w:after="0"/>
              <w:rPr>
                <w:sz w:val="13"/>
                <w:szCs w:val="13"/>
                <w:color w:val="auto"/>
              </w:rPr>
            </w:pPr>
          </w:p>
        </w:tc>
        <w:tc>
          <w:tcPr>
            <w:tcW w:w="1280" w:type="dxa"/>
            <w:vAlign w:val="bottom"/>
          </w:tcPr>
          <w:p>
            <w:pPr>
              <w:jc w:val="center"/>
              <w:ind w:right="12"/>
              <w:spacing w:after="0" w:line="155" w:lineRule="exact"/>
              <w:rPr>
                <w:sz w:val="20"/>
                <w:szCs w:val="20"/>
                <w:color w:val="auto"/>
              </w:rPr>
            </w:pPr>
            <w:r>
              <w:rPr>
                <w:rFonts w:ascii="Times New Roman" w:cs="Times New Roman" w:eastAsia="Times New Roman" w:hAnsi="Times New Roman"/>
                <w:sz w:val="16"/>
                <w:szCs w:val="16"/>
                <w:b w:val="1"/>
                <w:bCs w:val="1"/>
                <w:color w:val="auto"/>
              </w:rPr>
              <w:t>Plan's Interest in</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Master Trust</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32"/>
              <w:spacing w:after="0" w:line="162" w:lineRule="exact"/>
              <w:rPr>
                <w:sz w:val="20"/>
                <w:szCs w:val="20"/>
                <w:color w:val="auto"/>
              </w:rPr>
            </w:pPr>
            <w:r>
              <w:rPr>
                <w:rFonts w:ascii="Times New Roman" w:cs="Times New Roman" w:eastAsia="Times New Roman" w:hAnsi="Times New Roman"/>
                <w:sz w:val="16"/>
                <w:szCs w:val="16"/>
                <w:b w:val="1"/>
                <w:bCs w:val="1"/>
                <w:color w:val="auto"/>
              </w:rPr>
              <w:t>Master Trust</w:t>
            </w:r>
          </w:p>
        </w:tc>
        <w:tc>
          <w:tcPr>
            <w:tcW w:w="0" w:type="dxa"/>
            <w:vAlign w:val="bottom"/>
          </w:tcPr>
          <w:p>
            <w:pPr>
              <w:spacing w:after="0"/>
              <w:rPr>
                <w:sz w:val="1"/>
                <w:szCs w:val="1"/>
                <w:color w:val="auto"/>
              </w:rPr>
            </w:pPr>
          </w:p>
        </w:tc>
      </w:tr>
      <w:tr>
        <w:trPr>
          <w:trHeight w:val="21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Balances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Balances</w:t>
            </w:r>
          </w:p>
        </w:tc>
        <w:tc>
          <w:tcPr>
            <w:tcW w:w="0" w:type="dxa"/>
            <w:vAlign w:val="bottom"/>
          </w:tcPr>
          <w:p>
            <w:pPr>
              <w:spacing w:after="0"/>
              <w:rPr>
                <w:sz w:val="1"/>
                <w:szCs w:val="1"/>
                <w:color w:val="auto"/>
              </w:rPr>
            </w:pPr>
          </w:p>
        </w:tc>
      </w:tr>
      <w:tr>
        <w:trPr>
          <w:trHeight w:val="206"/>
        </w:trPr>
        <w:tc>
          <w:tcPr>
            <w:tcW w:w="54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Cash and equivalents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Charter Communications, Inc. common stock</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Charter Communications, Inc. common stock fund</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common stocks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investments measured at NAV</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10,384,219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8,811,536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1,406,828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11,394,059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1,454,460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11,783,167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1,471,484</w:t>
            </w:r>
          </w:p>
        </w:tc>
        <w:tc>
          <w:tcPr>
            <w:tcW w:w="0" w:type="dxa"/>
            <w:vAlign w:val="bottom"/>
          </w:tcPr>
          <w:p>
            <w:pPr>
              <w:spacing w:after="0"/>
              <w:rPr>
                <w:sz w:val="1"/>
                <w:szCs w:val="1"/>
                <w:color w:val="auto"/>
              </w:rPr>
            </w:pPr>
          </w:p>
        </w:tc>
      </w:tr>
      <w:tr>
        <w:trPr>
          <w:trHeight w:val="142"/>
        </w:trPr>
        <w:tc>
          <w:tcPr>
            <w:tcW w:w="5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142"/>
        </w:trPr>
        <w:tc>
          <w:tcPr>
            <w:tcW w:w="5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to participating plans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11,775,165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10,202,314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1,471,132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5" w:lineRule="auto"/>
        <w:tabs>
          <w:tab w:leader="none" w:pos="335"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Master Trust's investment assets are classified within Level 1 of the fair value hierarchy, with the exception of Charter Communications, Inc. common stock fund that has a small portion held in a money market fund to provide liquidity and to accommodate daily transactions and which is classified within Level 2 of the fair value hierarchy. See Note 4.</w:t>
      </w:r>
    </w:p>
    <w:p>
      <w:pPr>
        <w:spacing w:after="0" w:line="2"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Subtopic 820-10, certain investments that were measured at NAV per share (or its equivalent) were not classified in the fair value hierarchy.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the changes in net assets for the Master Trust for the year ended December 31, 2025:</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4"/>
        </w:trPr>
        <w:tc>
          <w:tcPr>
            <w:tcW w:w="9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1,634,950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26,529</w:t>
            </w:r>
          </w:p>
        </w:tc>
      </w:tr>
      <w:tr>
        <w:trPr>
          <w:trHeight w:val="223"/>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1,661,479</w:t>
            </w:r>
          </w:p>
        </w:tc>
      </w:tr>
      <w:tr>
        <w:trPr>
          <w:trHeight w:val="270"/>
        </w:trPr>
        <w:tc>
          <w:tcPr>
            <w:tcW w:w="9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investment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r>
      <w:tr>
        <w:trPr>
          <w:trHeight w:val="257"/>
        </w:trPr>
        <w:tc>
          <w:tcPr>
            <w:tcW w:w="9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1,169,883</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1,249,649</w:t>
            </w:r>
          </w:p>
        </w:tc>
      </w:tr>
      <w:tr>
        <w:trPr>
          <w:trHeight w:val="237"/>
        </w:trPr>
        <w:tc>
          <w:tcPr>
            <w:tcW w:w="9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1,572,851</w:t>
            </w:r>
          </w:p>
        </w:tc>
      </w:tr>
      <w:tr>
        <w:trPr>
          <w:trHeight w:val="257"/>
        </w:trPr>
        <w:tc>
          <w:tcPr>
            <w:tcW w:w="9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to participating plans, beginning of year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10,202,314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to participating plans,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11,775,165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proportionate share of Master Trust net investment income allocated to the Plan for the year ended December 31, 2025 totaled $244.9 million, excluding administrative expenses (see Note 11). As of December 31, 2025, the beneficial interest of the Plan in the Master Trust was approximately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The net asset value ("NAV") practical expedient to fair value is used for certain investments as of December 31, 2025 and 2024. There have been no changes in the methodologies used at December 31, 2025 and 2024.</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Consists of money market funds which are stated at cost which approximate fair value.</w:t>
      </w:r>
    </w:p>
    <w:p>
      <w:pPr>
        <w:spacing w:after="0" w:line="25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Charter Communications, Inc. common stock and other common stocks. </w:t>
      </w:r>
      <w:r>
        <w:rPr>
          <w:rFonts w:ascii="Times New Roman" w:cs="Times New Roman" w:eastAsia="Times New Roman" w:hAnsi="Times New Roman"/>
          <w:sz w:val="18"/>
          <w:szCs w:val="18"/>
          <w:color w:val="auto"/>
        </w:rPr>
        <w:t>Valued at the closing price reported on the active market on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securities are traded. No single industry comprised a significant portion of common stock held by the Master Trust as of December 31, 2025 or 2024.</w:t>
      </w:r>
    </w:p>
    <w:p>
      <w:pPr>
        <w:spacing w:after="0" w:line="198"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Charter Communications, Inc. common stock fund. </w:t>
      </w:r>
      <w:r>
        <w:rPr>
          <w:rFonts w:ascii="Times New Roman" w:cs="Times New Roman" w:eastAsia="Times New Roman" w:hAnsi="Times New Roman"/>
          <w:sz w:val="18"/>
          <w:szCs w:val="18"/>
          <w:color w:val="auto"/>
        </w:rPr>
        <w:t>Primarily consists of Charter Communications, Inc. common stock and a short-term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that provides liquidity for daily trading. Valued based on the performance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Charter Communications, Inc. and its stock, the overall stock market, and the performance and amount of short-term investments held by the fund, less any expenses accrued against the fund.</w:t>
      </w:r>
    </w:p>
    <w:p>
      <w:pPr>
        <w:spacing w:after="0" w:line="185"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Mutual funds. </w:t>
      </w:r>
      <w:r>
        <w:rPr>
          <w:rFonts w:ascii="Times New Roman" w:cs="Times New Roman" w:eastAsia="Times New Roman" w:hAnsi="Times New Roman"/>
          <w:sz w:val="18"/>
          <w:szCs w:val="18"/>
          <w:color w:val="auto"/>
        </w:rPr>
        <w:t>Valued at the daily closing price as reported by the fund. Mutual funds held by the Master Trust are open-end mutual funds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with the SEC. These funds are required to publish their daily NAV and to transact at that price. The mutual funds held by the Master Trust are deemed to be actively traded.</w:t>
      </w:r>
    </w:p>
    <w:p>
      <w:pPr>
        <w:spacing w:after="0" w:line="19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Collective trust funds. </w:t>
      </w:r>
      <w:r>
        <w:rPr>
          <w:rFonts w:ascii="Times New Roman" w:cs="Times New Roman" w:eastAsia="Times New Roman" w:hAnsi="Times New Roman"/>
          <w:sz w:val="18"/>
          <w:szCs w:val="18"/>
          <w:color w:val="auto"/>
        </w:rPr>
        <w:t>Valued using the NAV provided by the manager of the fund. The NAV is based on the fair value of the underlying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the fund, less liabilities, and then divided by the number of units outstanding.</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 Trust's investment assets as of December 31, 2025 and 2024 are classified within Level 1 of the fair value hierarchy, with the exception of Charter Communications, Inc. common stock fund which is classified within Level 2 of the fair value hierarchy. Classification within the fair value hierarchy table is based on the lowest level of any input that is significant to the fair value measurement. See Note 3.</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Investments Measured Using the Net Asset Value per Share Practical Expedient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Master Trust's investments for which fair value is measured using the NAV per share as a practical expedient to fair value as of December 31, 2025 and 2024. There are no participant redemption restrictions for these investments; the redemption notice period is applicable only to the Master Trust.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Unfunded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Other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restart"/>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7"/>
                <w:szCs w:val="7"/>
                <w:color w:val="auto"/>
              </w:rPr>
            </w:pPr>
          </w:p>
        </w:tc>
        <w:tc>
          <w:tcPr>
            <w:tcW w:w="1100" w:type="dxa"/>
            <w:vAlign w:val="bottom"/>
            <w:vMerge w:val="restart"/>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3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Redemption</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Frequency</w:t>
            </w:r>
          </w:p>
        </w:tc>
        <w:tc>
          <w:tcPr>
            <w:tcW w:w="1280" w:type="dxa"/>
            <w:vAlign w:val="bottom"/>
            <w:vMerge w:val="continue"/>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Notice Period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Restrictions</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 trust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10,384,219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8,811,536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Immediate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Fully Benefit-Responsive Investment Contracts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Master Trust holds a portfolio of synthetic investment contracts, the Capital Preservation Fund. A synthetic investment contract is an agreement under which debt obligations (such as fixed-income asset-backed and mortgage-backed securities) are purchased and then a contract is entered into with a financial institution to provide for liquidity and an adjustable rate of return thereon (a “Wrapper”), which, when taken together with the underlying securities, generally results in a guaranteed return of principal and accrued interest. These contracts met the fully benefit-responsive investment contract criteria and therefore are reported at contract value. Contract value is the relevant measure for fully benefit-responsive investment contracts because this is the amount received by the participants if they were to initiate permitted transactions under the terms of the Plan. Contract value represents contributions made under each contract, plus earnings, less participant withdrawals and administrative expenses. Total synthetic contracts as of December 31, 2025 and 2024 totaled $384.6 million and $384.7 million, respectively, of which the Plan holds $16.7 million and $16.0 million, respectively.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key difference between a synthetic investment contract and a traditional investment contract is that the Master Trust owns the underlying assets of the synthetic investment contract. A synthetic investment contract includes a wrapper contract, which is an agreement for the wrap issuer, such as a bank or insurance company, to make payments to the Master Trust in certain circumstances. The wrapper contract typically includes certain conditions and limitations on the underlying assets owned by the Master Trust. With traditional investment contracts, the Master Trust owns only the contract itself. Synthetic and traditional investment contracts are designed to accrue interest based on crediting rates established by the contract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synthetic investment contracts held by the Master Trust are designed to pay all participant-initiated transactions at contract value. However, certain events might limit the ability of the Master Trust to transact at contract value with the contract issuer. These events may be different under each contract. Examples of such events include the following:</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failure to qualify under Section 401(a) of the IRC or the failure of the trust to be tax-exempt under section 501(a) of the IRC;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termination of the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termination or merger;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Plan's prohibition on competing investment option;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of the Plan sponsor or other plan sponsor events that significantly affect the Plan's normal operations.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events are probable of occurring that might limit the ability of the Master Trust to transact at contract value with the contract issuers and that also would limit the ability of the Master Trust to transact at contract value with the participants.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certain events allow the issuer to terminate the contracts with the Master Trust and settle an amount different from contract value. Those events may be different under each contract. Examples of such events include:</w:t>
      </w:r>
    </w:p>
    <w:p>
      <w:pPr>
        <w:spacing w:after="0" w:line="189"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uncured violation of the Plan's investment guidelines;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material obligation under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misrepresentation;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amendment to the agreements without the consent of the issuer.</w:t>
      </w:r>
    </w:p>
    <w:p>
      <w:pPr>
        <w:spacing w:after="0" w:line="283" w:lineRule="exact"/>
        <w:rPr>
          <w:rFonts w:ascii="Times New Roman" w:cs="Times New Roman" w:eastAsia="Times New Roman" w:hAnsi="Times New Roman"/>
          <w:sz w:val="18"/>
          <w:szCs w:val="18"/>
          <w:color w:val="auto"/>
        </w:rPr>
      </w:pPr>
    </w:p>
    <w:p>
      <w:pPr>
        <w:ind w:left="300" w:hanging="25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Parties-in-Interest Transactions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Master Trust investments are shares of mutual funds managed by the Trustee. Transactions related to these investments qualify as party-in-interest transactions. The Trustee collects management fees by offsetting the investment return in an amount as noted by the investment's expense ratio. Therefore, the Plan is not directly billed for these fees.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Plan held 16,471 shares of Charter Communications, Inc. common stock with a fair value of $3.4 million. During the year ended December 31, 2025, these investments earned realized gains of $14 thousand and unrealized losses of $2.2 million. During the year ended December 31, 2025, the Plan purchased $955 thousand and sold $686 thousand of these shares.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fully vested in their employer contributions.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Tax Status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adopted the Fidelity Investment volume submitter document. The Fidelity volume submitter document received a favorable determination letter from the Internal Revenue Service ("IRS") dated June 30, 2020 indicating it is in compliance with applicable requirements of the IRC and, therefore, the related trust is exempt from taxation. Once qualified, the Plan is required to operate in conformity with the IRC to maintain its qualification. Subsequent to this determination by the IRS, the Plan has been amended. The Plan Administrator believes the Plan is being operated in compliance with the applicable requirements of the IRC and, therefore, believes the Plan, as amended and restated, is qualified and the related trust is tax exempt.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 Retirement Accumulation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Risks and Uncertainties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 Trust invests in various types of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Statements of Net Assets Available for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Reconciliation of Financial Statements to Form 5500</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certain line items on the Statement of Changes in Net Assets Available for Benefits per the financial statements for the year ended December 31, 2025 to Form 5500: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 Financial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Reclass for Form</w:t>
            </w:r>
          </w:p>
        </w:tc>
        <w:tc>
          <w:tcPr>
            <w:tcW w:w="140" w:type="dxa"/>
            <w:vAlign w:val="bottom"/>
          </w:tcPr>
          <w:p>
            <w:pPr>
              <w:spacing w:after="0"/>
              <w:rPr>
                <w:sz w:val="17"/>
                <w:szCs w:val="17"/>
                <w:color w:val="auto"/>
              </w:rPr>
            </w:pPr>
          </w:p>
        </w:tc>
        <w:tc>
          <w:tcPr>
            <w:tcW w:w="1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Per Form 5500</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Statements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5500 Purposes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investment gain in the Charter Communications, Inc. Defined Contribution Plans Master</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244,169</w:t>
            </w:r>
          </w:p>
        </w:tc>
        <w:tc>
          <w:tcPr>
            <w:tcW w:w="0" w:type="dxa"/>
            <w:vAlign w:val="bottom"/>
          </w:tcPr>
          <w:p>
            <w:pPr>
              <w:spacing w:after="0"/>
              <w:rPr>
                <w:sz w:val="1"/>
                <w:szCs w:val="1"/>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Retirement Accumulation Plan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Marchand</w:t>
            </w:r>
          </w:p>
        </w:tc>
      </w:tr>
      <w:tr>
        <w:trPr>
          <w:trHeight w:val="218"/>
        </w:trPr>
        <w:tc>
          <w:tcPr>
            <w:tcW w:w="5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Paul Marchand</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0" w:type="dxa"/>
            <w:vAlign w:val="bottom"/>
          </w:tcPr>
          <w:p>
            <w:pPr>
              <w:spacing w:after="0"/>
              <w:rPr>
                <w:sz w:val="1"/>
                <w:szCs w:val="1"/>
                <w:color w:val="auto"/>
              </w:rPr>
            </w:pPr>
          </w:p>
        </w:tc>
      </w:tr>
      <w:tr>
        <w:trPr>
          <w:trHeight w:val="608"/>
        </w:trPr>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16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23.1</w:t>
            </w:r>
          </w:p>
        </w:tc>
        <w:tc>
          <w:tcPr>
            <w:tcW w:w="19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8"/>
              </w:rPr>
              <w:t>Consent of Armanino LLP</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99"/>
          </w:cols>
          <w:pgMar w:left="1360" w:top="1130"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Form S-8 (No. 333-278353) of Charter Communications, Inc. of our report dated June 18, 2026 relating to the financial statements of Charter Communications, Inc. Retirement Accumulation Plan, which appears in this Form 11-K.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2026-06-22T05:16:11Z</dcterms:created>
  <dcterms:modified xsi:type="dcterms:W3CDTF">2026-06-22T05:16:11Z</dcterms:modified>
</cp:coreProperties>
</file>