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639-1_4seq1.xml.htm"/>
      <w:bookmarkStart w:id="1" w:name="kstm26863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Liberty Broadband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12300 LIBERTY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68"/>
        <w:gridCol w:w="923"/>
        <w:gridCol w:w="796"/>
        <w:gridCol w:w="613"/>
        <w:gridCol w:w="327"/>
        <w:gridCol w:w="985"/>
        <w:gridCol w:w="380"/>
        <w:gridCol w:w="840"/>
        <w:gridCol w:w="1312"/>
        <w:gridCol w:w="919"/>
        <w:gridCol w:w="15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386,045</w:t>
            </w:r>
          </w:p>
        </w:tc>
        <w:tc>
          <w:tcPr>
            <w:tcW w:w="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231.71</w:t>
            </w:r>
            <w:r>
              <w:rPr/>
              <w:t xml:space="preserve"> </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40,660,307</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through wholly-owned subsidiaries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shares were sold to the Issuer in an exempt transaction pursuant to Rule 16b-3 under the Securities Exchange Act of 1934, as amended, pursuant to the terms of the Second Amended and Restated Stockholders Agreement, dated as of May 23, 2015, as amended, by and among, among others, the Issuer, Advance/Newhouse Partnership and the Reporting Person, the Letter Agreement, dated February 23, 2021, between the Issuer and the Reporting Person, Amendment No. 1 to the Second Amended and Restated Stockholders Agreement and the Letter Agreement, dated as of November 12, 2024, by and among, among others, the Issuer and the Reporting Person, and the Letter Agreement, dated March 5, 2026, by and among the Issuer, the Reporting Person and Advance/Newhouse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Liberty Broadband Corporation By: /s/ Brittany A. Uthoff; Name: Brittany A. Uthoff;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98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3809</Characters>
  <CharactersWithSpaces>4447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