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color w:val="auto"/>
        </w:rPr>
        <w:t>______________</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color w:val="auto"/>
        </w:rPr>
        <w:t>______________</w:t>
      </w:r>
    </w:p>
    <w:p>
      <w:pPr>
        <w:spacing w:after="0" w:line="2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160020</wp:posOffset>
            </wp:positionV>
            <wp:extent cx="1920240" cy="5740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0240"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tbl>
      <w:tblPr>
        <w:tblLayout w:type="fixed"/>
        <w:tblInd w:w="12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7400" w:type="dxa"/>
            <w:vAlign w:val="bottom"/>
            <w:gridSpan w:val="7"/>
          </w:tcPr>
          <w:p>
            <w:pPr>
              <w:jc w:val="center"/>
              <w:ind w:right="3568"/>
              <w:spacing w:after="0"/>
              <w:rPr>
                <w:sz w:val="20"/>
                <w:szCs w:val="20"/>
                <w:color w:val="auto"/>
              </w:rPr>
            </w:pPr>
            <w:r>
              <w:rPr>
                <w:rFonts w:ascii="Times New Roman" w:cs="Times New Roman" w:eastAsia="Times New Roman" w:hAnsi="Times New Roman"/>
                <w:sz w:val="18"/>
                <w:szCs w:val="18"/>
                <w:b w:val="1"/>
                <w:bCs w:val="1"/>
                <w:color w:val="auto"/>
                <w:w w:val="99"/>
              </w:rPr>
              <w:t>Charter Communications, Inc.</w:t>
            </w:r>
          </w:p>
        </w:tc>
      </w:tr>
      <w:tr>
        <w:trPr>
          <w:trHeight w:val="216"/>
        </w:trPr>
        <w:tc>
          <w:tcPr>
            <w:tcW w:w="3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40" w:type="dxa"/>
            <w:vAlign w:val="bottom"/>
            <w:gridSpan w:val="6"/>
          </w:tcPr>
          <w:p>
            <w:pPr>
              <w:jc w:val="center"/>
              <w:ind w:right="4328"/>
              <w:spacing w:after="0"/>
              <w:rPr>
                <w:sz w:val="20"/>
                <w:szCs w:val="20"/>
                <w:color w:val="auto"/>
              </w:rPr>
            </w:pPr>
            <w:r>
              <w:rPr>
                <w:rFonts w:ascii="Times New Roman" w:cs="Times New Roman" w:eastAsia="Times New Roman" w:hAnsi="Times New Roman"/>
                <w:sz w:val="18"/>
                <w:szCs w:val="18"/>
                <w:b w:val="1"/>
                <w:bCs w:val="1"/>
                <w:color w:val="auto"/>
              </w:rPr>
              <w:t>CCO Holdings, LLC</w:t>
            </w:r>
          </w:p>
        </w:tc>
      </w:tr>
      <w:tr>
        <w:trPr>
          <w:trHeight w:val="198"/>
        </w:trPr>
        <w:tc>
          <w:tcPr>
            <w:tcW w:w="3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40" w:type="dxa"/>
            <w:vAlign w:val="bottom"/>
            <w:gridSpan w:val="6"/>
          </w:tcPr>
          <w:p>
            <w:pPr>
              <w:jc w:val="center"/>
              <w:ind w:right="4328"/>
              <w:spacing w:after="0" w:line="198" w:lineRule="exact"/>
              <w:rPr>
                <w:sz w:val="20"/>
                <w:szCs w:val="20"/>
                <w:color w:val="auto"/>
              </w:rPr>
            </w:pPr>
            <w:r>
              <w:rPr>
                <w:rFonts w:ascii="Times New Roman" w:cs="Times New Roman" w:eastAsia="Times New Roman" w:hAnsi="Times New Roman"/>
                <w:sz w:val="18"/>
                <w:szCs w:val="18"/>
                <w:b w:val="1"/>
                <w:bCs w:val="1"/>
                <w:color w:val="auto"/>
                <w:w w:val="99"/>
              </w:rPr>
              <w:t>CCO Holdings Capital Corp.</w:t>
            </w:r>
          </w:p>
        </w:tc>
      </w:tr>
      <w:tr>
        <w:trPr>
          <w:trHeight w:val="20"/>
        </w:trPr>
        <w:tc>
          <w:tcPr>
            <w:tcW w:w="3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186"/>
        </w:trPr>
        <w:tc>
          <w:tcPr>
            <w:tcW w:w="3620" w:type="dxa"/>
            <w:vAlign w:val="bottom"/>
          </w:tcPr>
          <w:p>
            <w:pPr>
              <w:spacing w:after="0"/>
              <w:rPr>
                <w:sz w:val="16"/>
                <w:szCs w:val="16"/>
                <w:color w:val="auto"/>
              </w:rPr>
            </w:pPr>
          </w:p>
        </w:tc>
        <w:tc>
          <w:tcPr>
            <w:tcW w:w="7400" w:type="dxa"/>
            <w:vAlign w:val="bottom"/>
            <w:gridSpan w:val="7"/>
          </w:tcPr>
          <w:p>
            <w:pPr>
              <w:jc w:val="center"/>
              <w:ind w:right="3568"/>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tc>
      </w:tr>
      <w:tr>
        <w:trPr>
          <w:trHeight w:val="415"/>
        </w:trPr>
        <w:tc>
          <w:tcPr>
            <w:tcW w:w="3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80" w:type="dxa"/>
            <w:vAlign w:val="bottom"/>
            <w:gridSpan w:val="5"/>
          </w:tcPr>
          <w:p>
            <w:pPr>
              <w:jc w:val="center"/>
              <w:ind w:right="5088"/>
              <w:spacing w:after="0"/>
              <w:rPr>
                <w:sz w:val="20"/>
                <w:szCs w:val="20"/>
                <w:color w:val="auto"/>
              </w:rPr>
            </w:pPr>
            <w:r>
              <w:rPr>
                <w:rFonts w:ascii="Times New Roman" w:cs="Times New Roman" w:eastAsia="Times New Roman" w:hAnsi="Times New Roman"/>
                <w:sz w:val="18"/>
                <w:szCs w:val="18"/>
                <w:b w:val="1"/>
                <w:bCs w:val="1"/>
                <w:color w:val="auto"/>
                <w:w w:val="98"/>
              </w:rPr>
              <w:t>Delaware</w:t>
            </w:r>
          </w:p>
        </w:tc>
      </w:tr>
      <w:tr>
        <w:trPr>
          <w:trHeight w:val="20"/>
        </w:trPr>
        <w:tc>
          <w:tcPr>
            <w:tcW w:w="36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r>
      <w:tr>
        <w:trPr>
          <w:trHeight w:val="186"/>
        </w:trPr>
        <w:tc>
          <w:tcPr>
            <w:tcW w:w="3620" w:type="dxa"/>
            <w:vAlign w:val="bottom"/>
          </w:tcPr>
          <w:p>
            <w:pPr>
              <w:spacing w:after="0"/>
              <w:rPr>
                <w:sz w:val="16"/>
                <w:szCs w:val="16"/>
                <w:color w:val="auto"/>
              </w:rPr>
            </w:pPr>
          </w:p>
        </w:tc>
        <w:tc>
          <w:tcPr>
            <w:tcW w:w="7400" w:type="dxa"/>
            <w:vAlign w:val="bottom"/>
            <w:gridSpan w:val="7"/>
          </w:tcPr>
          <w:p>
            <w:pPr>
              <w:jc w:val="center"/>
              <w:ind w:right="3548"/>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tc>
      </w:tr>
      <w:tr>
        <w:trPr>
          <w:trHeight w:val="280"/>
        </w:trPr>
        <w:tc>
          <w:tcPr>
            <w:tcW w:w="3620" w:type="dxa"/>
            <w:vAlign w:val="bottom"/>
          </w:tcPr>
          <w:p>
            <w:pPr>
              <w:jc w:val="center"/>
              <w:ind w:left="1675"/>
              <w:spacing w:after="0"/>
              <w:rPr>
                <w:sz w:val="20"/>
                <w:szCs w:val="20"/>
                <w:color w:val="auto"/>
              </w:rPr>
            </w:pPr>
            <w:r>
              <w:rPr>
                <w:rFonts w:ascii="Times New Roman" w:cs="Times New Roman" w:eastAsia="Times New Roman" w:hAnsi="Times New Roman"/>
                <w:sz w:val="18"/>
                <w:szCs w:val="18"/>
                <w:b w:val="1"/>
                <w:bCs w:val="1"/>
                <w:color w:val="auto"/>
                <w:w w:val="99"/>
              </w:rPr>
              <w:t>001-33664</w:t>
            </w:r>
          </w:p>
        </w:tc>
        <w:tc>
          <w:tcPr>
            <w:tcW w:w="7400" w:type="dxa"/>
            <w:vAlign w:val="bottom"/>
            <w:gridSpan w:val="7"/>
          </w:tcPr>
          <w:p>
            <w:pPr>
              <w:jc w:val="center"/>
              <w:ind w:left="1776"/>
              <w:spacing w:after="0"/>
              <w:rPr>
                <w:sz w:val="20"/>
                <w:szCs w:val="20"/>
                <w:color w:val="auto"/>
              </w:rPr>
            </w:pPr>
            <w:r>
              <w:rPr>
                <w:rFonts w:ascii="Times New Roman" w:cs="Times New Roman" w:eastAsia="Times New Roman" w:hAnsi="Times New Roman"/>
                <w:sz w:val="18"/>
                <w:szCs w:val="18"/>
                <w:b w:val="1"/>
                <w:bCs w:val="1"/>
                <w:color w:val="auto"/>
                <w:w w:val="98"/>
              </w:rPr>
              <w:t>84-1496755</w:t>
            </w:r>
          </w:p>
        </w:tc>
      </w:tr>
      <w:tr>
        <w:trPr>
          <w:trHeight w:val="243"/>
        </w:trPr>
        <w:tc>
          <w:tcPr>
            <w:tcW w:w="3620" w:type="dxa"/>
            <w:vAlign w:val="bottom"/>
          </w:tcPr>
          <w:p>
            <w:pPr>
              <w:jc w:val="center"/>
              <w:ind w:left="1675"/>
              <w:spacing w:after="0"/>
              <w:rPr>
                <w:sz w:val="20"/>
                <w:szCs w:val="20"/>
                <w:color w:val="auto"/>
              </w:rPr>
            </w:pPr>
            <w:r>
              <w:rPr>
                <w:rFonts w:ascii="Times New Roman" w:cs="Times New Roman" w:eastAsia="Times New Roman" w:hAnsi="Times New Roman"/>
                <w:sz w:val="18"/>
                <w:szCs w:val="18"/>
                <w:b w:val="1"/>
                <w:bCs w:val="1"/>
                <w:color w:val="auto"/>
                <w:w w:val="99"/>
              </w:rPr>
              <w:t>001-37789</w:t>
            </w:r>
          </w:p>
        </w:tc>
        <w:tc>
          <w:tcPr>
            <w:tcW w:w="7400" w:type="dxa"/>
            <w:vAlign w:val="bottom"/>
            <w:gridSpan w:val="7"/>
          </w:tcPr>
          <w:p>
            <w:pPr>
              <w:jc w:val="center"/>
              <w:ind w:left="1776"/>
              <w:spacing w:after="0"/>
              <w:rPr>
                <w:sz w:val="20"/>
                <w:szCs w:val="20"/>
                <w:color w:val="auto"/>
              </w:rPr>
            </w:pPr>
            <w:r>
              <w:rPr>
                <w:rFonts w:ascii="Times New Roman" w:cs="Times New Roman" w:eastAsia="Times New Roman" w:hAnsi="Times New Roman"/>
                <w:sz w:val="18"/>
                <w:szCs w:val="18"/>
                <w:b w:val="1"/>
                <w:bCs w:val="1"/>
                <w:color w:val="auto"/>
                <w:w w:val="98"/>
              </w:rPr>
              <w:t>86-1067239</w:t>
            </w:r>
          </w:p>
        </w:tc>
      </w:tr>
      <w:tr>
        <w:trPr>
          <w:trHeight w:val="243"/>
        </w:trPr>
        <w:tc>
          <w:tcPr>
            <w:tcW w:w="3620" w:type="dxa"/>
            <w:vAlign w:val="bottom"/>
          </w:tcPr>
          <w:p>
            <w:pPr>
              <w:jc w:val="center"/>
              <w:ind w:left="1675"/>
              <w:spacing w:after="0"/>
              <w:rPr>
                <w:sz w:val="20"/>
                <w:szCs w:val="20"/>
                <w:color w:val="auto"/>
              </w:rPr>
            </w:pPr>
            <w:r>
              <w:rPr>
                <w:rFonts w:ascii="Times New Roman" w:cs="Times New Roman" w:eastAsia="Times New Roman" w:hAnsi="Times New Roman"/>
                <w:sz w:val="18"/>
                <w:szCs w:val="18"/>
                <w:b w:val="1"/>
                <w:bCs w:val="1"/>
                <w:color w:val="auto"/>
                <w:w w:val="99"/>
              </w:rPr>
              <w:t>333-112593-01</w:t>
            </w:r>
          </w:p>
        </w:tc>
        <w:tc>
          <w:tcPr>
            <w:tcW w:w="7400" w:type="dxa"/>
            <w:vAlign w:val="bottom"/>
            <w:gridSpan w:val="7"/>
          </w:tcPr>
          <w:p>
            <w:pPr>
              <w:jc w:val="center"/>
              <w:ind w:left="1776"/>
              <w:spacing w:after="0"/>
              <w:rPr>
                <w:sz w:val="20"/>
                <w:szCs w:val="20"/>
                <w:color w:val="auto"/>
              </w:rPr>
            </w:pPr>
            <w:r>
              <w:rPr>
                <w:rFonts w:ascii="Times New Roman" w:cs="Times New Roman" w:eastAsia="Times New Roman" w:hAnsi="Times New Roman"/>
                <w:sz w:val="18"/>
                <w:szCs w:val="18"/>
                <w:b w:val="1"/>
                <w:bCs w:val="1"/>
                <w:color w:val="auto"/>
                <w:w w:val="98"/>
              </w:rPr>
              <w:t>20-0257904</w:t>
            </w:r>
          </w:p>
        </w:tc>
      </w:tr>
      <w:tr>
        <w:trPr>
          <w:trHeight w:val="186"/>
        </w:trPr>
        <w:tc>
          <w:tcPr>
            <w:tcW w:w="3620" w:type="dxa"/>
            <w:vAlign w:val="bottom"/>
            <w:tcBorders>
              <w:top w:val="single" w:sz="8" w:color="auto"/>
            </w:tcBorders>
          </w:tcPr>
          <w:p>
            <w:pPr>
              <w:ind w:left="1900"/>
              <w:spacing w:after="0"/>
              <w:rPr>
                <w:sz w:val="20"/>
                <w:szCs w:val="20"/>
                <w:color w:val="auto"/>
              </w:rPr>
            </w:pPr>
            <w:r>
              <w:rPr>
                <w:rFonts w:ascii="Times New Roman" w:cs="Times New Roman" w:eastAsia="Times New Roman" w:hAnsi="Times New Roman"/>
                <w:sz w:val="14"/>
                <w:szCs w:val="14"/>
                <w:i w:val="1"/>
                <w:iCs w:val="1"/>
                <w:color w:val="auto"/>
              </w:rPr>
              <w:t>(Commission File Number)</w:t>
            </w:r>
          </w:p>
        </w:tc>
        <w:tc>
          <w:tcPr>
            <w:tcW w:w="7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400" w:type="dxa"/>
            <w:vAlign w:val="bottom"/>
            <w:tcBorders>
              <w:top w:val="single" w:sz="8" w:color="auto"/>
            </w:tcBorders>
          </w:tcPr>
          <w:p>
            <w:pPr>
              <w:jc w:val="center"/>
              <w:ind w:right="1068"/>
              <w:spacing w:after="0"/>
              <w:rPr>
                <w:sz w:val="20"/>
                <w:szCs w:val="20"/>
                <w:color w:val="auto"/>
              </w:rPr>
            </w:pPr>
            <w:r>
              <w:rPr>
                <w:rFonts w:ascii="Times New Roman" w:cs="Times New Roman" w:eastAsia="Times New Roman" w:hAnsi="Times New Roman"/>
                <w:sz w:val="14"/>
                <w:szCs w:val="14"/>
                <w:i w:val="1"/>
                <w:iCs w:val="1"/>
                <w:color w:val="auto"/>
              </w:rPr>
              <w:t>(I.R.S. Employer Identification Number)</w:t>
            </w:r>
          </w:p>
        </w:tc>
      </w:tr>
    </w:tbl>
    <w:p>
      <w:pPr>
        <w:spacing w:after="0" w:line="3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400 Washington Blvd.</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Stamford, Connecticut 06902</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 including zip code)</w:t>
      </w:r>
    </w:p>
    <w:p>
      <w:pPr>
        <w:spacing w:after="0" w:line="2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(203) 905-7801</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p>
      <w:pPr>
        <w:spacing w:after="0" w:line="2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(Former name or former address, if changed since last report)</w:t>
      </w:r>
    </w:p>
    <w:p>
      <w:pPr>
        <w:spacing w:after="0" w:line="327"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83"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5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0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6"/>
        </w:trPr>
        <w:tc>
          <w:tcPr>
            <w:tcW w:w="5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CHTR</w:t>
            </w:r>
          </w:p>
        </w:tc>
        <w:tc>
          <w:tcPr>
            <w:tcW w:w="4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36"/>
        </w:trPr>
        <w:tc>
          <w:tcPr>
            <w:tcW w:w="5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Series A Cumulative Redeemable Preferred Stock $.001 Par Value</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CHTRP</w:t>
            </w:r>
          </w:p>
        </w:tc>
        <w:tc>
          <w:tcPr>
            <w:tcW w:w="4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306" w:lineRule="exact"/>
        <w:rPr>
          <w:sz w:val="24"/>
          <w:szCs w:val="24"/>
          <w:color w:val="auto"/>
        </w:rPr>
      </w:pPr>
    </w:p>
    <w:p>
      <w:pPr>
        <w:jc w:val="both"/>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97"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424180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95" w:right="319" w:bottom="1440" w:gutter="0" w:footer="0" w:header="0"/>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26, 2026, the Compensation and Benefits Committee of the Board of Directors of Charter Communications, Inc. (the “Company”) approved compensation adjustments for Kevin Howard to be effective during the period he is serving as the Company’s Interim Chief Financial Officer. In recognition of his interim role, Mr. Howard will receive an annual base salary of $925,000 and a target annual cash bonus opportunity of 175% of his annual base salary. In addition, on October 26, 2026, Mr. Howard was granted an award of restricted stock units with a grant date fair value of $250,000, which award will cliff vest on the third anniversary of the grant date, subject to his continued employment with the Company through such date.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27, 2026, the Company issued a press release (the “press release”) announcing that its board of directors declared a quarterly cash dividend which will be payable on January 15, 2027 to stockholders of record of the Company’s Series A Cumulative Redeemable Preferred Stock at the close of business on December 31, 2026. The full text of the press release is attached hereto as Exhibit 99.1 and is incorporated by reference into this Item 7.01.</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disclosure in Item 7.01 of this Current Report on Form 8-K and the press release attached hereto as Exhibit 99.1 are being furnished to the Securities and Exchange Commission in satisfaction of the public disclosure requirements of Regulation FD and shall not be deemed "filed" for any purpose.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614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Pr>
          <w:p>
            <w:pPr>
              <w:spacing w:after="0"/>
              <w:rPr>
                <w:sz w:val="21"/>
                <w:szCs w:val="21"/>
                <w:color w:val="auto"/>
              </w:rPr>
            </w:pPr>
          </w:p>
        </w:tc>
      </w:tr>
      <w:tr>
        <w:trPr>
          <w:trHeight w:val="270"/>
        </w:trPr>
        <w:tc>
          <w:tcPr>
            <w:tcW w:w="2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9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October 27, 2026.</w:t>
            </w:r>
          </w:p>
        </w:tc>
      </w:tr>
      <w:tr>
        <w:trPr>
          <w:trHeight w:val="20"/>
        </w:trPr>
        <w:tc>
          <w:tcPr>
            <w:tcW w:w="2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r>
      <w:tr>
        <w:trPr>
          <w:trHeight w:val="263"/>
        </w:trPr>
        <w:tc>
          <w:tcPr>
            <w:tcW w:w="2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r>
        <w:trPr>
          <w:trHeight w:val="1479"/>
        </w:trPr>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6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each of Charter Communications, Inc., CCO Holdings, LLC and CCO Holdings Capital Corp. has duly caused this Current Report to be signed on its behalf by the undersigned hereunto duly authorized.</w:t>
      </w:r>
    </w:p>
    <w:p>
      <w:pPr>
        <w:spacing w:after="0" w:line="8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3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Registrant</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80" w:type="dxa"/>
            <w:vAlign w:val="bottom"/>
          </w:tcPr>
          <w:p>
            <w:pPr>
              <w:ind w:left="4520"/>
              <w:spacing w:after="0"/>
              <w:rPr>
                <w:sz w:val="20"/>
                <w:szCs w:val="20"/>
                <w:color w:val="auto"/>
              </w:rPr>
            </w:pPr>
            <w:r>
              <w:rPr>
                <w:rFonts w:ascii="Times New Roman" w:cs="Times New Roman" w:eastAsia="Times New Roman" w:hAnsi="Times New Roman"/>
                <w:sz w:val="18"/>
                <w:szCs w:val="18"/>
                <w:color w:val="auto"/>
              </w:rPr>
              <w:t>By:</w:t>
            </w:r>
          </w:p>
        </w:tc>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Kevin D. Howard</w:t>
            </w:r>
          </w:p>
        </w:tc>
      </w:tr>
      <w:tr>
        <w:trPr>
          <w:trHeight w:val="237"/>
        </w:trPr>
        <w:tc>
          <w:tcPr>
            <w:tcW w:w="518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D. Howard</w:t>
            </w:r>
          </w:p>
        </w:tc>
      </w:tr>
      <w:tr>
        <w:trPr>
          <w:trHeight w:val="198"/>
        </w:trPr>
        <w:tc>
          <w:tcPr>
            <w:tcW w:w="5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Date: October 27, 2026</w:t>
            </w:r>
          </w:p>
        </w:tc>
        <w:tc>
          <w:tcPr>
            <w:tcW w:w="60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Executive Vice President, Interim Chief Financial Officer, Chief Accounting</w:t>
            </w:r>
          </w:p>
        </w:tc>
      </w:tr>
      <w:tr>
        <w:trPr>
          <w:trHeight w:val="234"/>
        </w:trPr>
        <w:tc>
          <w:tcPr>
            <w:tcW w:w="518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 and Controller</w:t>
            </w:r>
          </w:p>
        </w:tc>
      </w:tr>
    </w:tbl>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CCO Holdings, LLC</w:t>
      </w:r>
    </w:p>
    <w:p>
      <w:pPr>
        <w:spacing w:after="0" w:line="3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Registrant</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80" w:type="dxa"/>
            <w:vAlign w:val="bottom"/>
          </w:tcPr>
          <w:p>
            <w:pPr>
              <w:ind w:left="4520"/>
              <w:spacing w:after="0"/>
              <w:rPr>
                <w:sz w:val="20"/>
                <w:szCs w:val="20"/>
                <w:color w:val="auto"/>
              </w:rPr>
            </w:pPr>
            <w:r>
              <w:rPr>
                <w:rFonts w:ascii="Times New Roman" w:cs="Times New Roman" w:eastAsia="Times New Roman" w:hAnsi="Times New Roman"/>
                <w:sz w:val="18"/>
                <w:szCs w:val="18"/>
                <w:color w:val="auto"/>
              </w:rPr>
              <w:t>By:</w:t>
            </w:r>
          </w:p>
        </w:tc>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Kevin D. Howard</w:t>
            </w:r>
          </w:p>
        </w:tc>
      </w:tr>
      <w:tr>
        <w:trPr>
          <w:trHeight w:val="237"/>
        </w:trPr>
        <w:tc>
          <w:tcPr>
            <w:tcW w:w="518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D. Howard</w:t>
            </w:r>
          </w:p>
        </w:tc>
      </w:tr>
      <w:tr>
        <w:trPr>
          <w:trHeight w:val="198"/>
        </w:trPr>
        <w:tc>
          <w:tcPr>
            <w:tcW w:w="5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Date: October 27, 2026</w:t>
            </w:r>
          </w:p>
        </w:tc>
        <w:tc>
          <w:tcPr>
            <w:tcW w:w="60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Executive Vice President, Interim Chief Financial Officer, Chief Accounting</w:t>
            </w:r>
          </w:p>
        </w:tc>
      </w:tr>
      <w:tr>
        <w:trPr>
          <w:trHeight w:val="234"/>
        </w:trPr>
        <w:tc>
          <w:tcPr>
            <w:tcW w:w="518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 and Controller</w:t>
            </w:r>
          </w:p>
        </w:tc>
      </w:tr>
    </w:tbl>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CCO Holdings Capital Corp.</w:t>
      </w:r>
    </w:p>
    <w:p>
      <w:pPr>
        <w:spacing w:after="0" w:line="3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Registrant</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80" w:type="dxa"/>
            <w:vAlign w:val="bottom"/>
          </w:tcPr>
          <w:p>
            <w:pPr>
              <w:ind w:left="4520"/>
              <w:spacing w:after="0"/>
              <w:rPr>
                <w:sz w:val="20"/>
                <w:szCs w:val="20"/>
                <w:color w:val="auto"/>
              </w:rPr>
            </w:pPr>
            <w:r>
              <w:rPr>
                <w:rFonts w:ascii="Times New Roman" w:cs="Times New Roman" w:eastAsia="Times New Roman" w:hAnsi="Times New Roman"/>
                <w:sz w:val="18"/>
                <w:szCs w:val="18"/>
                <w:color w:val="auto"/>
              </w:rPr>
              <w:t>By:</w:t>
            </w:r>
          </w:p>
        </w:tc>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Kevin D. Howard</w:t>
            </w:r>
          </w:p>
        </w:tc>
      </w:tr>
      <w:tr>
        <w:trPr>
          <w:trHeight w:val="236"/>
        </w:trPr>
        <w:tc>
          <w:tcPr>
            <w:tcW w:w="518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D. Howard</w:t>
            </w:r>
          </w:p>
        </w:tc>
      </w:tr>
      <w:tr>
        <w:trPr>
          <w:trHeight w:val="198"/>
        </w:trPr>
        <w:tc>
          <w:tcPr>
            <w:tcW w:w="5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Date: October 27, 2026</w:t>
            </w:r>
          </w:p>
        </w:tc>
        <w:tc>
          <w:tcPr>
            <w:tcW w:w="60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Executive Vice President, Interim Chief Financial Officer, Chief Accounting</w:t>
            </w:r>
          </w:p>
        </w:tc>
      </w:tr>
      <w:tr>
        <w:trPr>
          <w:trHeight w:val="234"/>
        </w:trPr>
        <w:tc>
          <w:tcPr>
            <w:tcW w:w="518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 and Controller</w:t>
            </w:r>
          </w:p>
        </w:tc>
      </w:tr>
    </w:tbl>
    <w:p>
      <w:pPr>
        <w:sectPr>
          <w:pgSz w:w="11900" w:h="16838" w:orient="portrait"/>
          <w:cols w:equalWidth="0" w:num="1">
            <w:col w:w="11240"/>
          </w:cols>
          <w:pgMar w:left="320" w:top="88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1920240" cy="574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024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Charter Declares Quarterly Cash Dividend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on Series A Cumulative Redeemable Preferred Stock</w:t>
      </w:r>
    </w:p>
    <w:p>
      <w:pPr>
        <w:spacing w:after="0" w:line="200" w:lineRule="exact"/>
        <w:rPr>
          <w:sz w:val="20"/>
          <w:szCs w:val="20"/>
          <w:color w:val="auto"/>
        </w:rPr>
      </w:pPr>
    </w:p>
    <w:p>
      <w:pPr>
        <w:spacing w:after="0" w:line="26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STAMFORD, Connecticut – October 27, 2026 – Charter Communications, Inc. (NASDAQ: CHTR, CHTRP) (the “Company”) today announced that its Board of Directors declared the regular quarterly cash dividend payable to holders of its Series A Cumulative Redeemable Preferred Stock (the “Charter Preferred Stock”) (NASDAQ: CHTRP). The per share amount of the quarterly cash dividend will be $0.43750001, payable in cash on January 15, 2027 to holders of record of the Charter Preferred Stock at the close of business on December 31, 2026.</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Charter</w:t>
      </w:r>
    </w:p>
    <w:p>
      <w:pPr>
        <w:spacing w:after="0" w:line="25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Charter Communications, Inc. (NASDAQ: CHTR, CHTRP) is the leading broadband and video company in the nation and the fastest growing mobile provider in its footprint, with services available to more than 70 million homes and small to large businesses across 45 states through its Spectrum brand. Founded in 1993, Charter has evolved from providing cable TV to streaming, and from high-speed Internet to a converged broadband, WiFi and mobile experience. Over the Spectrum Fiber Broadband Network and supported by our 100% U.S.-based employees, the Company offers Seamless Connectivity and Entertainment with Spectrum Internet®, Mobile, TV and Voice products.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400" w:type="dxa"/>
            <w:vAlign w:val="bottom"/>
            <w:gridSpan w:val="3"/>
          </w:tcPr>
          <w:p>
            <w:pPr>
              <w:spacing w:after="0"/>
              <w:rPr>
                <w:sz w:val="20"/>
                <w:szCs w:val="20"/>
                <w:color w:val="auto"/>
              </w:rPr>
            </w:pPr>
            <w:r>
              <w:rPr>
                <w:rFonts w:ascii="Arial" w:cs="Arial" w:eastAsia="Arial" w:hAnsi="Arial"/>
                <w:sz w:val="20"/>
                <w:szCs w:val="20"/>
                <w:color w:val="auto"/>
              </w:rPr>
              <w:t>More information can be found at corporate.charter.com.</w:t>
            </w:r>
          </w:p>
        </w:tc>
        <w:tc>
          <w:tcPr>
            <w:tcW w:w="88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483"/>
        </w:trPr>
        <w:tc>
          <w:tcPr>
            <w:tcW w:w="5400" w:type="dxa"/>
            <w:vAlign w:val="bottom"/>
            <w:gridSpan w:val="3"/>
          </w:tcPr>
          <w:p>
            <w:pPr>
              <w:spacing w:after="0"/>
              <w:rPr>
                <w:sz w:val="20"/>
                <w:szCs w:val="20"/>
                <w:color w:val="auto"/>
              </w:rPr>
            </w:pPr>
            <w:r>
              <w:rPr>
                <w:rFonts w:ascii="Arial" w:cs="Arial" w:eastAsia="Arial" w:hAnsi="Arial"/>
                <w:sz w:val="20"/>
                <w:szCs w:val="20"/>
                <w:b w:val="1"/>
                <w:bCs w:val="1"/>
                <w:color w:val="auto"/>
              </w:rPr>
              <w:t>Contacts:</w:t>
            </w: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20"/>
                <w:szCs w:val="20"/>
                <w:b w:val="1"/>
                <w:bCs w:val="1"/>
                <w:color w:val="auto"/>
                <w:w w:val="97"/>
              </w:rPr>
              <w:t>Media:</w:t>
            </w:r>
          </w:p>
        </w:tc>
        <w:tc>
          <w:tcPr>
            <w:tcW w:w="474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20"/>
                <w:szCs w:val="20"/>
                <w:b w:val="1"/>
                <w:bCs w:val="1"/>
                <w:color w:val="auto"/>
              </w:rPr>
              <w:t>Analysts:</w:t>
            </w: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82"/>
        </w:trPr>
        <w:tc>
          <w:tcPr>
            <w:tcW w:w="2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Arial" w:cs="Arial" w:eastAsia="Arial" w:hAnsi="Arial"/>
                <w:sz w:val="20"/>
                <w:szCs w:val="20"/>
                <w:color w:val="auto"/>
              </w:rPr>
              <w:t>Justin Venech</w:t>
            </w:r>
          </w:p>
        </w:tc>
        <w:tc>
          <w:tcPr>
            <w:tcW w:w="1420" w:type="dxa"/>
            <w:vAlign w:val="bottom"/>
            <w:gridSpan w:val="2"/>
          </w:tcPr>
          <w:p>
            <w:pPr>
              <w:spacing w:after="0"/>
              <w:rPr>
                <w:sz w:val="20"/>
                <w:szCs w:val="20"/>
                <w:color w:val="auto"/>
              </w:rPr>
            </w:pPr>
            <w:r>
              <w:rPr>
                <w:rFonts w:ascii="Arial" w:cs="Arial" w:eastAsia="Arial" w:hAnsi="Arial"/>
                <w:sz w:val="20"/>
                <w:szCs w:val="20"/>
                <w:color w:val="auto"/>
                <w:w w:val="97"/>
              </w:rPr>
              <w:t>Stefan Anninger</w:t>
            </w:r>
          </w:p>
        </w:tc>
      </w:tr>
      <w:tr>
        <w:trPr>
          <w:trHeight w:val="261"/>
        </w:trPr>
        <w:tc>
          <w:tcPr>
            <w:tcW w:w="5400" w:type="dxa"/>
            <w:vAlign w:val="bottom"/>
            <w:gridSpan w:val="3"/>
          </w:tcPr>
          <w:p>
            <w:pPr>
              <w:ind w:left="20"/>
              <w:spacing w:after="0"/>
              <w:rPr>
                <w:sz w:val="20"/>
                <w:szCs w:val="20"/>
                <w:color w:val="auto"/>
              </w:rPr>
            </w:pPr>
            <w:r>
              <w:rPr>
                <w:rFonts w:ascii="Arial" w:cs="Arial" w:eastAsia="Arial" w:hAnsi="Arial"/>
                <w:sz w:val="20"/>
                <w:szCs w:val="20"/>
                <w:color w:val="auto"/>
              </w:rPr>
              <w:t>203-905-7818</w:t>
            </w:r>
          </w:p>
        </w:tc>
        <w:tc>
          <w:tcPr>
            <w:tcW w:w="1420" w:type="dxa"/>
            <w:vAlign w:val="bottom"/>
            <w:gridSpan w:val="2"/>
          </w:tcPr>
          <w:p>
            <w:pPr>
              <w:spacing w:after="0"/>
              <w:rPr>
                <w:sz w:val="20"/>
                <w:szCs w:val="20"/>
                <w:color w:val="auto"/>
              </w:rPr>
            </w:pPr>
            <w:r>
              <w:rPr>
                <w:rFonts w:ascii="Arial" w:cs="Arial" w:eastAsia="Arial" w:hAnsi="Arial"/>
                <w:sz w:val="20"/>
                <w:szCs w:val="20"/>
                <w:color w:val="auto"/>
              </w:rPr>
              <w:t>203-905-7955</w:t>
            </w:r>
          </w:p>
        </w:tc>
      </w:tr>
    </w:tbl>
    <w:p>
      <w:pPr>
        <w:spacing w:after="0" w:line="1" w:lineRule="exact"/>
        <w:rPr>
          <w:sz w:val="20"/>
          <w:szCs w:val="20"/>
          <w:color w:val="auto"/>
        </w:rPr>
      </w:pP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2026-10-27T15:32:44Z</dcterms:created>
  <dcterms:modified xsi:type="dcterms:W3CDTF">2026-10-27T15:32:44Z</dcterms:modified>
</cp:coreProperties>
</file>