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96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96226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Winfrey Christopher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CHARTER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WASHINGTON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u w:val="single" w:color="auto"/>
          <w:color w:val="0000EE"/>
        </w:rPr>
      </w:pPr>
      <w:hyperlink r:id="rId14">
        <w:r>
          <w:rPr>
            <w:rFonts w:ascii="Times New Roman" w:cs="Times New Roman" w:eastAsia="Times New Roman" w:hAnsi="Times New Roman"/>
            <w:sz w:val="20"/>
            <w:szCs w:val="20"/>
            <w:u w:val="single" w:color="auto"/>
            <w:color w:val="0000EE"/>
          </w:rPr>
          <w:t>CHARTER COMMUNICATIONS, INC.</w:t>
        </w:r>
      </w:hyperlink>
    </w:p>
    <w:p>
      <w:pPr>
        <w:spacing w:after="0" w:line="10"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320" w:space="600"/>
            <w:col w:w="3500" w:space="315"/>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0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0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2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04/28/2026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3,468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172.2349</w:t>
            </w:r>
            <w:r>
              <w:rPr>
                <w:rFonts w:ascii="Times New Roman" w:cs="Times New Roman" w:eastAsia="Times New Roman" w:hAnsi="Times New Roman"/>
                <w:sz w:val="22"/>
                <w:szCs w:val="22"/>
                <w:color w:val="008000"/>
                <w:vertAlign w:val="superscript"/>
              </w:rPr>
              <w:t>(1)</w:t>
            </w:r>
          </w:p>
        </w:tc>
        <w:tc>
          <w:tcPr>
            <w:tcW w:w="10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rPr>
              <w:t>74,409</w:t>
            </w:r>
          </w:p>
        </w:tc>
        <w:tc>
          <w:tcPr>
            <w:tcW w:w="96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7"/>
              </w:rPr>
              <w:t>D</w:t>
            </w:r>
          </w:p>
        </w:tc>
        <w:tc>
          <w:tcPr>
            <w:tcW w:w="1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04/28/2026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3,468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172.2349</w:t>
            </w:r>
            <w:r>
              <w:rPr>
                <w:rFonts w:ascii="Times New Roman" w:cs="Times New Roman" w:eastAsia="Times New Roman" w:hAnsi="Times New Roman"/>
                <w:sz w:val="22"/>
                <w:szCs w:val="22"/>
                <w:color w:val="008000"/>
                <w:vertAlign w:val="superscript"/>
              </w:rPr>
              <w:t>(1)</w:t>
            </w:r>
          </w:p>
        </w:tc>
        <w:tc>
          <w:tcPr>
            <w:tcW w:w="104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rPr>
              <w:t>3,468</w:t>
            </w:r>
          </w:p>
        </w:tc>
        <w:tc>
          <w:tcPr>
            <w:tcW w:w="96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6"/>
                <w:szCs w:val="16"/>
                <w:color w:val="0000FF"/>
                <w:w w:val="74"/>
              </w:rPr>
              <w:t>I</w:t>
            </w:r>
          </w:p>
        </w:tc>
        <w:tc>
          <w:tcPr>
            <w:tcW w:w="11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Shares held</w:t>
            </w:r>
          </w:p>
        </w:tc>
        <w:tc>
          <w:tcPr>
            <w:tcW w:w="0" w:type="dxa"/>
            <w:vAlign w:val="bottom"/>
          </w:tcPr>
          <w:p>
            <w:pPr>
              <w:spacing w:after="0"/>
              <w:rPr>
                <w:sz w:val="1"/>
                <w:szCs w:val="1"/>
                <w:color w:val="auto"/>
              </w:rPr>
            </w:pPr>
          </w:p>
        </w:tc>
      </w:tr>
      <w:tr>
        <w:trPr>
          <w:trHeight w:val="213"/>
        </w:trPr>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rPr>
              <w:t>20,674</w:t>
            </w:r>
          </w:p>
        </w:tc>
        <w:tc>
          <w:tcPr>
            <w:tcW w:w="960" w:type="dxa"/>
            <w:vAlign w:val="bottom"/>
            <w:vMerge w:val="restart"/>
          </w:tcPr>
          <w:p>
            <w:pPr>
              <w:jc w:val="center"/>
              <w:ind w:left="8"/>
              <w:spacing w:after="0"/>
              <w:rPr>
                <w:sz w:val="20"/>
                <w:szCs w:val="20"/>
                <w:color w:val="auto"/>
              </w:rPr>
            </w:pPr>
            <w:r>
              <w:rPr>
                <w:rFonts w:ascii="Times New Roman" w:cs="Times New Roman" w:eastAsia="Times New Roman" w:hAnsi="Times New Roman"/>
                <w:sz w:val="16"/>
                <w:szCs w:val="16"/>
                <w:color w:val="0000FF"/>
                <w:w w:val="74"/>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Atalaya</w:t>
            </w:r>
          </w:p>
        </w:tc>
        <w:tc>
          <w:tcPr>
            <w:tcW w:w="0" w:type="dxa"/>
            <w:vAlign w:val="bottom"/>
          </w:tcPr>
          <w:p>
            <w:pPr>
              <w:spacing w:after="0"/>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93"/>
        </w:trPr>
        <w:tc>
          <w:tcPr>
            <w:tcW w:w="2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Shares held</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Yeniley L.</w:t>
            </w:r>
          </w:p>
        </w:tc>
        <w:tc>
          <w:tcPr>
            <w:tcW w:w="0" w:type="dxa"/>
            <w:vAlign w:val="bottom"/>
          </w:tcPr>
          <w:p>
            <w:pPr>
              <w:spacing w:after="0"/>
              <w:rPr>
                <w:sz w:val="1"/>
                <w:szCs w:val="1"/>
                <w:color w:val="auto"/>
              </w:rPr>
            </w:pPr>
          </w:p>
        </w:tc>
      </w:tr>
      <w:tr>
        <w:trPr>
          <w:trHeight w:val="213"/>
        </w:trPr>
        <w:tc>
          <w:tcPr>
            <w:tcW w:w="2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rPr>
              <w:t>38,454</w:t>
            </w:r>
          </w:p>
        </w:tc>
        <w:tc>
          <w:tcPr>
            <w:tcW w:w="960" w:type="dxa"/>
            <w:vAlign w:val="bottom"/>
          </w:tcPr>
          <w:p>
            <w:pPr>
              <w:jc w:val="center"/>
              <w:ind w:left="8"/>
              <w:spacing w:after="0"/>
              <w:rPr>
                <w:sz w:val="20"/>
                <w:szCs w:val="20"/>
                <w:color w:val="auto"/>
              </w:rPr>
            </w:pPr>
            <w:r>
              <w:rPr>
                <w:rFonts w:ascii="Times New Roman" w:cs="Times New Roman" w:eastAsia="Times New Roman" w:hAnsi="Times New Roman"/>
                <w:sz w:val="16"/>
                <w:szCs w:val="16"/>
                <w:color w:val="0000FF"/>
                <w:w w:val="74"/>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Winfrey</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Shares held</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GST Non-</w:t>
            </w:r>
          </w:p>
        </w:tc>
        <w:tc>
          <w:tcPr>
            <w:tcW w:w="0" w:type="dxa"/>
            <w:vAlign w:val="bottom"/>
          </w:tcPr>
          <w:p>
            <w:pPr>
              <w:spacing w:after="0"/>
              <w:rPr>
                <w:sz w:val="1"/>
                <w:szCs w:val="1"/>
                <w:color w:val="auto"/>
              </w:rPr>
            </w:pPr>
          </w:p>
        </w:tc>
      </w:tr>
      <w:tr>
        <w:trPr>
          <w:trHeight w:val="213"/>
        </w:trPr>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rPr>
              <w:t>50,046</w:t>
            </w:r>
          </w:p>
        </w:tc>
        <w:tc>
          <w:tcPr>
            <w:tcW w:w="960" w:type="dxa"/>
            <w:vAlign w:val="bottom"/>
            <w:vMerge w:val="restart"/>
          </w:tcPr>
          <w:p>
            <w:pPr>
              <w:jc w:val="center"/>
              <w:ind w:left="8"/>
              <w:spacing w:after="0"/>
              <w:rPr>
                <w:sz w:val="20"/>
                <w:szCs w:val="20"/>
                <w:color w:val="auto"/>
              </w:rPr>
            </w:pPr>
            <w:r>
              <w:rPr>
                <w:rFonts w:ascii="Times New Roman" w:cs="Times New Roman" w:eastAsia="Times New Roman" w:hAnsi="Times New Roman"/>
                <w:sz w:val="16"/>
                <w:szCs w:val="16"/>
                <w:color w:val="0000FF"/>
                <w:w w:val="74"/>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Exempt</w:t>
            </w:r>
          </w:p>
        </w:tc>
        <w:tc>
          <w:tcPr>
            <w:tcW w:w="0" w:type="dxa"/>
            <w:vAlign w:val="bottom"/>
          </w:tcPr>
          <w:p>
            <w:pPr>
              <w:spacing w:after="0"/>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Winfrey</w:t>
            </w:r>
          </w:p>
        </w:tc>
        <w:tc>
          <w:tcPr>
            <w:tcW w:w="0" w:type="dxa"/>
            <w:vAlign w:val="bottom"/>
          </w:tcPr>
          <w:p>
            <w:pPr>
              <w:spacing w:after="0"/>
              <w:rPr>
                <w:sz w:val="1"/>
                <w:szCs w:val="1"/>
                <w:color w:val="auto"/>
              </w:rPr>
            </w:pPr>
          </w:p>
        </w:tc>
      </w:tr>
      <w:tr>
        <w:trPr>
          <w:trHeight w:val="93"/>
        </w:trPr>
        <w:tc>
          <w:tcPr>
            <w:tcW w:w="2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Dynasty</w:t>
            </w:r>
          </w:p>
        </w:tc>
        <w:tc>
          <w:tcPr>
            <w:tcW w:w="0" w:type="dxa"/>
            <w:vAlign w:val="bottom"/>
          </w:tcPr>
          <w:p>
            <w:pPr>
              <w:spacing w:after="0"/>
              <w:rPr>
                <w:sz w:val="1"/>
                <w:szCs w:val="1"/>
                <w:color w:val="auto"/>
              </w:rPr>
            </w:pPr>
          </w:p>
        </w:tc>
      </w:tr>
      <w:tr>
        <w:trPr>
          <w:trHeight w:val="226"/>
        </w:trPr>
        <w:tc>
          <w:tcPr>
            <w:tcW w:w="2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2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Shares held</w:t>
            </w:r>
          </w:p>
        </w:tc>
        <w:tc>
          <w:tcPr>
            <w:tcW w:w="0" w:type="dxa"/>
            <w:vAlign w:val="bottom"/>
          </w:tcPr>
          <w:p>
            <w:pPr>
              <w:spacing w:after="0"/>
              <w:rPr>
                <w:sz w:val="1"/>
                <w:szCs w:val="1"/>
                <w:color w:val="auto"/>
              </w:rPr>
            </w:pPr>
          </w:p>
        </w:tc>
      </w:tr>
      <w:tr>
        <w:trPr>
          <w:trHeight w:val="213"/>
        </w:trPr>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rPr>
              <w:t>38,385</w:t>
            </w:r>
          </w:p>
        </w:tc>
        <w:tc>
          <w:tcPr>
            <w:tcW w:w="960" w:type="dxa"/>
            <w:vAlign w:val="bottom"/>
            <w:vMerge w:val="restart"/>
          </w:tcPr>
          <w:p>
            <w:pPr>
              <w:jc w:val="center"/>
              <w:ind w:left="8"/>
              <w:spacing w:after="0"/>
              <w:rPr>
                <w:sz w:val="20"/>
                <w:szCs w:val="20"/>
                <w:color w:val="auto"/>
              </w:rPr>
            </w:pPr>
            <w:r>
              <w:rPr>
                <w:rFonts w:ascii="Times New Roman" w:cs="Times New Roman" w:eastAsia="Times New Roman" w:hAnsi="Times New Roman"/>
                <w:sz w:val="16"/>
                <w:szCs w:val="16"/>
                <w:color w:val="0000FF"/>
                <w:w w:val="74"/>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Winfrey</w:t>
            </w:r>
          </w:p>
        </w:tc>
        <w:tc>
          <w:tcPr>
            <w:tcW w:w="0" w:type="dxa"/>
            <w:vAlign w:val="bottom"/>
          </w:tcPr>
          <w:p>
            <w:pPr>
              <w:spacing w:after="0"/>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Dynasty</w:t>
            </w:r>
          </w:p>
        </w:tc>
        <w:tc>
          <w:tcPr>
            <w:tcW w:w="0" w:type="dxa"/>
            <w:vAlign w:val="bottom"/>
          </w:tcPr>
          <w:p>
            <w:pPr>
              <w:spacing w:after="0"/>
              <w:rPr>
                <w:sz w:val="1"/>
                <w:szCs w:val="1"/>
                <w:color w:val="auto"/>
              </w:rPr>
            </w:pPr>
          </w:p>
        </w:tc>
      </w:tr>
      <w:tr>
        <w:trPr>
          <w:trHeight w:val="107"/>
        </w:trPr>
        <w:tc>
          <w:tcPr>
            <w:tcW w:w="2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4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$172.07 to $172.27, inclusive. The reporting person undertakes to provide Charter Communications, Inc., any security holder of Charter Communications, Inc.,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1000"/>
          </w:cols>
          <w:pgMar w:left="460" w:top="219" w:right="43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/s/Jennifer A. Smith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02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1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4089" TargetMode="External"/><Relationship Id="rId14" Type="http://schemas.openxmlformats.org/officeDocument/2006/relationships/hyperlink" Target="http://www.sec.gov/cgi-bin/browse-edgar?action=getcompany&amp;CIK=000109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2026-04-28T16:10:24Z</dcterms:created>
  <dcterms:modified xsi:type="dcterms:W3CDTF">2026-04-28T16:10:24Z</dcterms:modified>
</cp:coreProperties>
</file>