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One)</w:t>
      </w:r>
    </w:p>
    <w:p>
      <w:pPr>
        <w:spacing w:after="0" w:line="45" w:lineRule="exact"/>
        <w:rPr>
          <w:sz w:val="24"/>
          <w:szCs w:val="24"/>
          <w:color w:val="auto"/>
        </w:rPr>
      </w:pPr>
    </w:p>
    <w:p>
      <w:pPr>
        <w:ind w:left="600" w:hanging="403"/>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1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 the fiscal year ended December 31, 2023</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64" w:lineRule="exact"/>
        <w:rPr>
          <w:sz w:val="24"/>
          <w:szCs w:val="24"/>
          <w:color w:val="auto"/>
        </w:rPr>
      </w:pPr>
    </w:p>
    <w:p>
      <w:pPr>
        <w:ind w:left="600" w:hanging="403"/>
        <w:spacing w:after="0"/>
        <w:tabs>
          <w:tab w:leader="none" w:pos="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200" w:lineRule="exact"/>
        <w:rPr>
          <w:sz w:val="24"/>
          <w:szCs w:val="24"/>
          <w:color w:val="auto"/>
        </w:rPr>
      </w:pPr>
    </w:p>
    <w:p>
      <w:pPr>
        <w:spacing w:after="0" w:line="240" w:lineRule="exact"/>
        <w:rPr>
          <w:sz w:val="24"/>
          <w:szCs w:val="24"/>
          <w:color w:val="auto"/>
        </w:rPr>
      </w:pPr>
    </w:p>
    <w:p>
      <w:pPr>
        <w:ind w:left="4120"/>
        <w:spacing w:after="0"/>
        <w:tabs>
          <w:tab w:leader="none" w:pos="65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001-33664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76200</wp:posOffset>
            </wp:positionV>
            <wp:extent cx="190309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u w:val="single" w:color="auto"/>
          <w:color w:val="auto"/>
        </w:rPr>
        <w:t>Charter Communications,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3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80" w:type="dxa"/>
            <w:vAlign w:val="bottom"/>
          </w:tcPr>
          <w:p>
            <w:pPr>
              <w:jc w:val="right"/>
              <w:ind w:right="2128"/>
              <w:spacing w:after="0"/>
              <w:rPr>
                <w:sz w:val="20"/>
                <w:szCs w:val="20"/>
                <w:color w:val="auto"/>
              </w:rPr>
            </w:pPr>
            <w:r>
              <w:rPr>
                <w:rFonts w:ascii="Times New Roman" w:cs="Times New Roman" w:eastAsia="Times New Roman" w:hAnsi="Times New Roman"/>
                <w:sz w:val="14"/>
                <w:szCs w:val="14"/>
                <w:b w:val="1"/>
                <w:bCs w:val="1"/>
                <w:color w:val="auto"/>
              </w:rPr>
              <w:t>84-1496755</w:t>
            </w:r>
          </w:p>
        </w:tc>
        <w:tc>
          <w:tcPr>
            <w:tcW w:w="180" w:type="dxa"/>
            <w:vAlign w:val="bottom"/>
          </w:tcPr>
          <w:p>
            <w:pPr>
              <w:spacing w:after="0"/>
              <w:rPr>
                <w:sz w:val="16"/>
                <w:szCs w:val="16"/>
                <w:color w:val="auto"/>
              </w:rPr>
            </w:pPr>
          </w:p>
        </w:tc>
      </w:tr>
      <w:tr>
        <w:trPr>
          <w:trHeight w:val="37"/>
        </w:trPr>
        <w:tc>
          <w:tcPr>
            <w:tcW w:w="16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82"/>
        </w:trPr>
        <w:tc>
          <w:tcPr>
            <w:tcW w:w="160" w:type="dxa"/>
            <w:vAlign w:val="bottom"/>
          </w:tcPr>
          <w:p>
            <w:pPr>
              <w:spacing w:after="0"/>
              <w:rPr>
                <w:sz w:val="15"/>
                <w:szCs w:val="15"/>
                <w:color w:val="auto"/>
              </w:rPr>
            </w:pPr>
          </w:p>
        </w:tc>
        <w:tc>
          <w:tcPr>
            <w:tcW w:w="36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580" w:type="dxa"/>
            <w:vAlign w:val="bottom"/>
          </w:tcPr>
          <w:p>
            <w:pPr>
              <w:jc w:val="center"/>
              <w:ind w:right="142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180" w:type="dxa"/>
            <w:vAlign w:val="bottom"/>
          </w:tcPr>
          <w:p>
            <w:pPr>
              <w:spacing w:after="0"/>
              <w:rPr>
                <w:sz w:val="15"/>
                <w:szCs w:val="15"/>
                <w:color w:val="auto"/>
              </w:rPr>
            </w:pPr>
          </w:p>
        </w:tc>
      </w:tr>
      <w:tr>
        <w:trPr>
          <w:trHeight w:val="261"/>
        </w:trPr>
        <w:tc>
          <w:tcPr>
            <w:tcW w:w="160" w:type="dxa"/>
            <w:vAlign w:val="bottom"/>
          </w:tcPr>
          <w:p>
            <w:pPr>
              <w:spacing w:after="0"/>
              <w:rPr>
                <w:sz w:val="22"/>
                <w:szCs w:val="22"/>
                <w:color w:val="auto"/>
              </w:rPr>
            </w:pPr>
          </w:p>
        </w:tc>
        <w:tc>
          <w:tcPr>
            <w:tcW w:w="3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400 Washington Blvd.</w:t>
            </w:r>
          </w:p>
        </w:tc>
        <w:tc>
          <w:tcPr>
            <w:tcW w:w="10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Stamford</w:t>
            </w:r>
          </w:p>
        </w:tc>
        <w:tc>
          <w:tcPr>
            <w:tcW w:w="26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Connecticut</w:t>
            </w:r>
          </w:p>
        </w:tc>
        <w:tc>
          <w:tcPr>
            <w:tcW w:w="3580" w:type="dxa"/>
            <w:vAlign w:val="bottom"/>
          </w:tcPr>
          <w:p>
            <w:pPr>
              <w:jc w:val="right"/>
              <w:ind w:right="2288"/>
              <w:spacing w:after="0"/>
              <w:rPr>
                <w:sz w:val="20"/>
                <w:szCs w:val="20"/>
                <w:color w:val="auto"/>
              </w:rPr>
            </w:pPr>
            <w:r>
              <w:rPr>
                <w:rFonts w:ascii="Times New Roman" w:cs="Times New Roman" w:eastAsia="Times New Roman" w:hAnsi="Times New Roman"/>
                <w:sz w:val="14"/>
                <w:szCs w:val="14"/>
                <w:b w:val="1"/>
                <w:bCs w:val="1"/>
                <w:color w:val="auto"/>
              </w:rPr>
              <w:t>06902</w:t>
            </w:r>
          </w:p>
        </w:tc>
        <w:tc>
          <w:tcPr>
            <w:tcW w:w="180" w:type="dxa"/>
            <w:vAlign w:val="bottom"/>
          </w:tcPr>
          <w:p>
            <w:pPr>
              <w:spacing w:after="0"/>
              <w:rPr>
                <w:sz w:val="22"/>
                <w:szCs w:val="22"/>
                <w:color w:val="auto"/>
              </w:rPr>
            </w:pPr>
          </w:p>
        </w:tc>
      </w:tr>
      <w:tr>
        <w:trPr>
          <w:trHeight w:val="37"/>
        </w:trPr>
        <w:tc>
          <w:tcPr>
            <w:tcW w:w="16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82"/>
        </w:trPr>
        <w:tc>
          <w:tcPr>
            <w:tcW w:w="160" w:type="dxa"/>
            <w:vAlign w:val="bottom"/>
          </w:tcPr>
          <w:p>
            <w:pPr>
              <w:spacing w:after="0"/>
              <w:rPr>
                <w:sz w:val="15"/>
                <w:szCs w:val="15"/>
                <w:color w:val="auto"/>
              </w:rPr>
            </w:pPr>
          </w:p>
        </w:tc>
        <w:tc>
          <w:tcPr>
            <w:tcW w:w="4700" w:type="dxa"/>
            <w:vAlign w:val="bottom"/>
            <w:gridSpan w:val="3"/>
          </w:tcPr>
          <w:p>
            <w:pPr>
              <w:ind w:left="17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580" w:type="dxa"/>
            <w:vAlign w:val="bottom"/>
          </w:tcPr>
          <w:p>
            <w:pPr>
              <w:jc w:val="center"/>
              <w:ind w:right="1428"/>
              <w:spacing w:after="0"/>
              <w:rPr>
                <w:sz w:val="20"/>
                <w:szCs w:val="20"/>
                <w:color w:val="auto"/>
              </w:rPr>
            </w:pPr>
            <w:r>
              <w:rPr>
                <w:rFonts w:ascii="Times New Roman" w:cs="Times New Roman" w:eastAsia="Times New Roman" w:hAnsi="Times New Roman"/>
                <w:sz w:val="14"/>
                <w:szCs w:val="14"/>
                <w:color w:val="auto"/>
              </w:rPr>
              <w:t>(Zip Code)</w:t>
            </w:r>
          </w:p>
        </w:tc>
        <w:tc>
          <w:tcPr>
            <w:tcW w:w="180" w:type="dxa"/>
            <w:vAlign w:val="bottom"/>
          </w:tcPr>
          <w:p>
            <w:pPr>
              <w:spacing w:after="0"/>
              <w:rPr>
                <w:sz w:val="15"/>
                <w:szCs w:val="15"/>
                <w:color w:val="auto"/>
              </w:rPr>
            </w:pPr>
          </w:p>
        </w:tc>
      </w:tr>
      <w:tr>
        <w:trPr>
          <w:trHeight w:val="271"/>
        </w:trPr>
        <w:tc>
          <w:tcPr>
            <w:tcW w:w="16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2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(203) 905-7801</w:t>
            </w:r>
          </w:p>
        </w:tc>
        <w:tc>
          <w:tcPr>
            <w:tcW w:w="142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0"/>
        </w:trPr>
        <w:tc>
          <w:tcPr>
            <w:tcW w:w="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7"/>
        </w:trPr>
        <w:tc>
          <w:tcPr>
            <w:tcW w:w="1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5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7"/>
        </w:trPr>
        <w:tc>
          <w:tcPr>
            <w:tcW w:w="16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r>
        <w:trPr>
          <w:trHeight w:val="190"/>
        </w:trPr>
        <w:tc>
          <w:tcPr>
            <w:tcW w:w="160" w:type="dxa"/>
            <w:vAlign w:val="bottom"/>
            <w:tcBorders>
              <w:left w:val="single" w:sz="8" w:color="auto"/>
              <w:bottom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Title of each class</w:t>
            </w: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40" w:type="dxa"/>
            <w:vAlign w:val="bottom"/>
            <w:tcBorders>
              <w:bottom w:val="single" w:sz="8" w:color="auto"/>
              <w:right w:val="single" w:sz="8" w:color="auto"/>
            </w:tcBorders>
            <w:gridSpan w:val="3"/>
          </w:tcPr>
          <w:p>
            <w:pPr>
              <w:jc w:val="center"/>
              <w:ind w:right="1120"/>
              <w:spacing w:after="0"/>
              <w:rPr>
                <w:sz w:val="20"/>
                <w:szCs w:val="20"/>
                <w:color w:val="auto"/>
              </w:rPr>
            </w:pPr>
            <w:r>
              <w:rPr>
                <w:rFonts w:ascii="Times New Roman" w:cs="Times New Roman" w:eastAsia="Times New Roman" w:hAnsi="Times New Roman"/>
                <w:sz w:val="14"/>
                <w:szCs w:val="14"/>
                <w:color w:val="auto"/>
              </w:rPr>
              <w:t>Trading Symbol(s)</w:t>
            </w:r>
          </w:p>
        </w:tc>
        <w:tc>
          <w:tcPr>
            <w:tcW w:w="35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180" w:type="dxa"/>
            <w:vAlign w:val="bottom"/>
            <w:tcBorders>
              <w:bottom w:val="single" w:sz="8" w:color="auto"/>
              <w:right w:val="single" w:sz="8" w:color="auto"/>
            </w:tcBorders>
          </w:tcPr>
          <w:p>
            <w:pPr>
              <w:spacing w:after="0"/>
              <w:rPr>
                <w:sz w:val="16"/>
                <w:szCs w:val="16"/>
                <w:color w:val="auto"/>
              </w:rPr>
            </w:pPr>
          </w:p>
        </w:tc>
      </w:tr>
      <w:tr>
        <w:trPr>
          <w:trHeight w:val="196"/>
        </w:trPr>
        <w:tc>
          <w:tcPr>
            <w:tcW w:w="160" w:type="dxa"/>
            <w:vAlign w:val="bottom"/>
            <w:tcBorders>
              <w:left w:val="single" w:sz="8" w:color="auto"/>
              <w:bottom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20" w:type="dxa"/>
            <w:vAlign w:val="bottom"/>
            <w:tcBorders>
              <w:bottom w:val="single" w:sz="8" w:color="auto"/>
              <w:right w:val="single" w:sz="8" w:color="auto"/>
            </w:tcBorders>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CHTR</w:t>
            </w:r>
          </w:p>
        </w:tc>
        <w:tc>
          <w:tcPr>
            <w:tcW w:w="35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180" w:type="dxa"/>
            <w:vAlign w:val="bottom"/>
            <w:tcBorders>
              <w:bottom w:val="single" w:sz="8" w:color="auto"/>
              <w:right w:val="single" w:sz="8" w:color="auto"/>
            </w:tcBorders>
          </w:tcPr>
          <w:p>
            <w:pPr>
              <w:spacing w:after="0"/>
              <w:rPr>
                <w:sz w:val="17"/>
                <w:szCs w:val="17"/>
                <w:color w:val="auto"/>
              </w:rPr>
            </w:pPr>
          </w:p>
        </w:tc>
      </w:tr>
    </w:tbl>
    <w:p>
      <w:pPr>
        <w:spacing w:after="0" w:line="3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58" w:lineRule="exact"/>
        <w:rPr>
          <w:sz w:val="24"/>
          <w:szCs w:val="24"/>
          <w:color w:val="auto"/>
        </w:rPr>
      </w:pPr>
    </w:p>
    <w:p>
      <w:pPr>
        <w:jc w:val="both"/>
        <w:ind w:right="4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jc w:val="both"/>
        <w:ind w:right="4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62" w:lineRule="exact"/>
        <w:rPr>
          <w:sz w:val="24"/>
          <w:szCs w:val="24"/>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53" w:lineRule="exact"/>
        <w:rPr>
          <w:sz w:val="24"/>
          <w:szCs w:val="24"/>
          <w:color w:val="auto"/>
        </w:rPr>
      </w:pPr>
    </w:p>
    <w:p>
      <w:pPr>
        <w:spacing w:after="0" w:line="196" w:lineRule="exact"/>
        <w:tabs>
          <w:tab w:leader="none" w:pos="1600" w:val="left"/>
          <w:tab w:leader="none" w:pos="2880" w:val="left"/>
          <w:tab w:leader="none" w:pos="4400" w:val="left"/>
          <w:tab w:leader="none" w:pos="63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ab/>
        <w:t xml:space="preserve">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Non-accelerated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7"/>
          <w:szCs w:val="17"/>
          <w:color w:val="auto"/>
        </w:rPr>
        <w:t>☐</w:t>
      </w:r>
    </w:p>
    <w:p>
      <w:pPr>
        <w:spacing w:after="0" w:line="300"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jc w:val="both"/>
        <w:ind w:right="4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93" w:lineRule="exact"/>
        <w:rPr>
          <w:sz w:val="24"/>
          <w:szCs w:val="24"/>
          <w:color w:val="auto"/>
        </w:rPr>
      </w:pPr>
    </w:p>
    <w:p>
      <w:pPr>
        <w:jc w:val="both"/>
        <w:ind w:right="20"/>
        <w:spacing w:after="0" w:line="221"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p>
    <w:p>
      <w:pPr>
        <w:spacing w:after="0" w:line="193" w:lineRule="exact"/>
        <w:rPr>
          <w:sz w:val="24"/>
          <w:szCs w:val="24"/>
          <w:color w:val="auto"/>
        </w:rPr>
      </w:pPr>
    </w:p>
    <w:p>
      <w:pPr>
        <w:jc w:val="both"/>
        <w:ind w:right="20"/>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4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300"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outstanding Class A common stock of the registrant held by non-affiliates at June 30, 2023 was approximately $36.9 billion, computed based on the closing sale price as quoted on the NASDAQ Global Select Market on that date. For purposes of this calculation only, directors, executive officers and the principal controlling shareholders or entities controlled by such controlling shareholders of the registrant are deemed to be affiliates of the registrant.</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145,225,458 shares of Class A common stock outstanding as of December 31, 2023. There was 1 share of Class B common stock outstanding as of the same date.</w:t>
      </w:r>
    </w:p>
    <w:p>
      <w:pPr>
        <w:sectPr>
          <w:pgSz w:w="11900" w:h="16838" w:orient="portrait"/>
          <w:cols w:equalWidth="0" w:num="1">
            <w:col w:w="11260"/>
          </w:cols>
          <w:pgMar w:left="320" w:top="1134" w:right="31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6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Information required by Part III is incorporated by reference from the registrant’s proxy statement or an amendment to this Annual Report on Form 10-K to be filed no later than 120 days after the end of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603250</wp:posOffset>
            </wp:positionV>
            <wp:extent cx="190309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03095" cy="59182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 — FOR THE YEAR ENDED DECEMBER 31, 2023</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88"/>
              </w:rPr>
              <w:t>PART I</w:t>
            </w:r>
          </w:p>
        </w:tc>
        <w:tc>
          <w:tcPr>
            <w:tcW w:w="680" w:type="dxa"/>
            <w:vAlign w:val="bottom"/>
            <w:gridSpan w:val="5"/>
            <w:vMerge w:val="restart"/>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40" w:type="dxa"/>
            <w:vAlign w:val="bottom"/>
            <w:gridSpan w:val="4"/>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Page No.</w:t>
            </w:r>
          </w:p>
        </w:tc>
        <w:tc>
          <w:tcPr>
            <w:tcW w:w="0" w:type="dxa"/>
            <w:vAlign w:val="bottom"/>
          </w:tcPr>
          <w:p>
            <w:pPr>
              <w:spacing w:after="0"/>
              <w:rPr>
                <w:sz w:val="1"/>
                <w:szCs w:val="1"/>
                <w:color w:val="auto"/>
              </w:rPr>
            </w:pPr>
          </w:p>
        </w:tc>
      </w:tr>
      <w:tr>
        <w:trPr>
          <w:trHeight w:val="194"/>
        </w:trPr>
        <w:tc>
          <w:tcPr>
            <w:tcW w:w="540" w:type="dxa"/>
            <w:vAlign w:val="bottom"/>
            <w:tcBorders>
              <w:bottom w:val="single" w:sz="8" w:color="0000FF"/>
            </w:tcBorders>
            <w:gridSpan w:val="2"/>
            <w:vMerge w:val="continue"/>
          </w:tcPr>
          <w:p>
            <w:pPr>
              <w:spacing w:after="0"/>
              <w:rPr>
                <w:sz w:val="16"/>
                <w:szCs w:val="16"/>
                <w:color w:val="auto"/>
              </w:rPr>
            </w:pPr>
          </w:p>
        </w:tc>
        <w:tc>
          <w:tcPr>
            <w:tcW w:w="680" w:type="dxa"/>
            <w:vAlign w:val="bottom"/>
            <w:gridSpan w:val="5"/>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760" w:type="dxa"/>
            <w:vAlign w:val="bottom"/>
            <w:gridSpan w:val="6"/>
          </w:tcPr>
          <w:p>
            <w:pPr>
              <w:spacing w:after="0"/>
              <w:rPr>
                <w:sz w:val="24"/>
                <w:szCs w:val="24"/>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144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1A</w:t>
            </w:r>
          </w:p>
        </w:tc>
        <w:tc>
          <w:tcPr>
            <w:tcW w:w="680" w:type="dxa"/>
            <w:vAlign w:val="bottom"/>
            <w:gridSpan w:val="5"/>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140" w:type="dxa"/>
            <w:vAlign w:val="bottom"/>
            <w:gridSpan w:val="17"/>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1B</w:t>
            </w:r>
          </w:p>
        </w:tc>
        <w:tc>
          <w:tcPr>
            <w:tcW w:w="680" w:type="dxa"/>
            <w:vAlign w:val="bottom"/>
            <w:gridSpan w:val="5"/>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1C</w:t>
            </w:r>
          </w:p>
        </w:tc>
        <w:tc>
          <w:tcPr>
            <w:tcW w:w="600" w:type="dxa"/>
            <w:vAlign w:val="bottom"/>
            <w:gridSpan w:val="4"/>
          </w:tcPr>
          <w:p>
            <w:pPr>
              <w:spacing w:after="0"/>
              <w:rPr>
                <w:sz w:val="18"/>
                <w:szCs w:val="18"/>
                <w:color w:val="auto"/>
              </w:rPr>
            </w:pP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040" w:type="dxa"/>
            <w:vAlign w:val="bottom"/>
            <w:gridSpan w:val="16"/>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80" w:type="dxa"/>
            <w:vAlign w:val="bottom"/>
            <w:gridSpan w:val="5"/>
          </w:tcPr>
          <w:p>
            <w:pPr>
              <w:spacing w:after="0"/>
              <w:rPr>
                <w:sz w:val="18"/>
                <w:szCs w:val="18"/>
                <w:color w:val="auto"/>
              </w:rPr>
            </w:pP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320" w:type="dxa"/>
            <w:vAlign w:val="bottom"/>
            <w:gridSpan w:val="19"/>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760" w:type="dxa"/>
            <w:vAlign w:val="bottom"/>
            <w:gridSpan w:val="6"/>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760" w:type="dxa"/>
            <w:vAlign w:val="bottom"/>
            <w:gridSpan w:val="6"/>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PART II</w:t>
            </w:r>
          </w:p>
        </w:tc>
        <w:tc>
          <w:tcPr>
            <w:tcW w:w="6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680" w:type="dxa"/>
            <w:vAlign w:val="bottom"/>
            <w:gridSpan w:val="5"/>
          </w:tcPr>
          <w:p>
            <w:pPr>
              <w:spacing w:after="0"/>
              <w:rPr>
                <w:sz w:val="24"/>
                <w:szCs w:val="24"/>
                <w:color w:val="auto"/>
              </w:rPr>
            </w:pPr>
          </w:p>
        </w:tc>
        <w:tc>
          <w:tcPr>
            <w:tcW w:w="80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6</w:t>
            </w:r>
          </w:p>
        </w:tc>
        <w:tc>
          <w:tcPr>
            <w:tcW w:w="760" w:type="dxa"/>
            <w:vAlign w:val="bottom"/>
            <w:gridSpan w:val="6"/>
          </w:tcPr>
          <w:p>
            <w:pPr>
              <w:spacing w:after="0"/>
              <w:rPr>
                <w:sz w:val="18"/>
                <w:szCs w:val="18"/>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260" w:type="dxa"/>
            <w:vAlign w:val="bottom"/>
            <w:gridSpan w:val="18"/>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7</w:t>
            </w:r>
          </w:p>
        </w:tc>
        <w:tc>
          <w:tcPr>
            <w:tcW w:w="760" w:type="dxa"/>
            <w:vAlign w:val="bottom"/>
            <w:gridSpan w:val="6"/>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7A</w:t>
            </w:r>
          </w:p>
        </w:tc>
        <w:tc>
          <w:tcPr>
            <w:tcW w:w="560" w:type="dxa"/>
            <w:vAlign w:val="bottom"/>
            <w:gridSpan w:val="3"/>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8</w:t>
            </w:r>
          </w:p>
        </w:tc>
        <w:tc>
          <w:tcPr>
            <w:tcW w:w="200" w:type="dxa"/>
            <w:vAlign w:val="bottom"/>
            <w:tcBorders>
              <w:top w:val="single" w:sz="8" w:color="0000FF"/>
            </w:tcBorders>
            <w:gridSpan w:val="3"/>
          </w:tcPr>
          <w:p>
            <w:pPr>
              <w:spacing w:after="0"/>
              <w:rPr>
                <w:sz w:val="18"/>
                <w:szCs w:val="18"/>
                <w:color w:val="auto"/>
              </w:rPr>
            </w:pPr>
          </w:p>
        </w:tc>
        <w:tc>
          <w:tcPr>
            <w:tcW w:w="560" w:type="dxa"/>
            <w:vAlign w:val="bottom"/>
            <w:gridSpan w:val="3"/>
          </w:tcPr>
          <w:p>
            <w:pPr>
              <w:spacing w:after="0"/>
              <w:rPr>
                <w:sz w:val="18"/>
                <w:szCs w:val="18"/>
                <w:color w:val="auto"/>
              </w:rPr>
            </w:pPr>
          </w:p>
        </w:tc>
        <w:tc>
          <w:tcPr>
            <w:tcW w:w="3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18"/>
                <w:szCs w:val="18"/>
                <w:color w:val="auto"/>
              </w:rPr>
            </w:pPr>
          </w:p>
        </w:tc>
        <w:tc>
          <w:tcPr>
            <w:tcW w:w="3700" w:type="dxa"/>
            <w:vAlign w:val="bottom"/>
            <w:gridSpan w:val="6"/>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9</w:t>
            </w:r>
          </w:p>
        </w:tc>
        <w:tc>
          <w:tcPr>
            <w:tcW w:w="80" w:type="dxa"/>
            <w:vAlign w:val="bottom"/>
          </w:tcPr>
          <w:p>
            <w:pPr>
              <w:spacing w:after="0"/>
              <w:rPr>
                <w:sz w:val="18"/>
                <w:szCs w:val="18"/>
                <w:color w:val="auto"/>
              </w:rPr>
            </w:pPr>
          </w:p>
        </w:tc>
        <w:tc>
          <w:tcPr>
            <w:tcW w:w="680" w:type="dxa"/>
            <w:vAlign w:val="bottom"/>
            <w:gridSpan w:val="5"/>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9A</w:t>
            </w:r>
          </w:p>
        </w:tc>
        <w:tc>
          <w:tcPr>
            <w:tcW w:w="680" w:type="dxa"/>
            <w:vAlign w:val="bottom"/>
            <w:gridSpan w:val="5"/>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280" w:type="dxa"/>
            <w:vAlign w:val="bottom"/>
            <w:gridSpan w:val="13"/>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9B</w:t>
            </w:r>
          </w:p>
        </w:tc>
        <w:tc>
          <w:tcPr>
            <w:tcW w:w="680" w:type="dxa"/>
            <w:vAlign w:val="bottom"/>
            <w:gridSpan w:val="5"/>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280" w:type="dxa"/>
            <w:vAlign w:val="bottom"/>
            <w:gridSpan w:val="13"/>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9C</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3"/>
              </w:rPr>
              <w:t>PART III</w:t>
            </w:r>
          </w:p>
        </w:tc>
        <w:tc>
          <w:tcPr>
            <w:tcW w:w="5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10</w:t>
            </w:r>
          </w:p>
        </w:tc>
        <w:tc>
          <w:tcPr>
            <w:tcW w:w="680" w:type="dxa"/>
            <w:vAlign w:val="bottom"/>
            <w:gridSpan w:val="5"/>
          </w:tcPr>
          <w:p>
            <w:pPr>
              <w:spacing w:after="0"/>
              <w:rPr>
                <w:sz w:val="24"/>
                <w:szCs w:val="24"/>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0"/>
              </w:rPr>
              <w:t>Item 11</w:t>
            </w:r>
          </w:p>
        </w:tc>
        <w:tc>
          <w:tcPr>
            <w:tcW w:w="680" w:type="dxa"/>
            <w:vAlign w:val="bottom"/>
            <w:gridSpan w:val="5"/>
          </w:tcPr>
          <w:p>
            <w:pPr>
              <w:spacing w:after="0"/>
              <w:rPr>
                <w:sz w:val="18"/>
                <w:szCs w:val="18"/>
                <w:color w:val="auto"/>
              </w:rPr>
            </w:pPr>
          </w:p>
        </w:tc>
        <w:tc>
          <w:tcPr>
            <w:tcW w:w="1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gridSpan w:val="5"/>
          </w:tcPr>
          <w:p>
            <w:pPr>
              <w:spacing w:after="0"/>
              <w:rPr>
                <w:sz w:val="18"/>
                <w:szCs w:val="18"/>
                <w:color w:val="auto"/>
              </w:rPr>
            </w:pPr>
          </w:p>
        </w:tc>
        <w:tc>
          <w:tcPr>
            <w:tcW w:w="3960" w:type="dxa"/>
            <w:vAlign w:val="bottom"/>
            <w:gridSpan w:val="7"/>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12</w:t>
            </w:r>
          </w:p>
        </w:tc>
        <w:tc>
          <w:tcPr>
            <w:tcW w:w="680" w:type="dxa"/>
            <w:vAlign w:val="bottom"/>
            <w:gridSpan w:val="5"/>
          </w:tcPr>
          <w:p>
            <w:pPr>
              <w:spacing w:after="0"/>
              <w:rPr>
                <w:sz w:val="18"/>
                <w:szCs w:val="18"/>
                <w:color w:val="auto"/>
              </w:rPr>
            </w:pPr>
          </w:p>
        </w:tc>
        <w:tc>
          <w:tcPr>
            <w:tcW w:w="7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760" w:type="dxa"/>
            <w:vAlign w:val="bottom"/>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13</w:t>
            </w:r>
          </w:p>
        </w:tc>
        <w:tc>
          <w:tcPr>
            <w:tcW w:w="680" w:type="dxa"/>
            <w:vAlign w:val="bottom"/>
            <w:gridSpan w:val="5"/>
          </w:tcPr>
          <w:p>
            <w:pPr>
              <w:spacing w:after="0"/>
              <w:rPr>
                <w:sz w:val="18"/>
                <w:szCs w:val="18"/>
                <w:color w:val="auto"/>
              </w:rPr>
            </w:pPr>
          </w:p>
        </w:tc>
        <w:tc>
          <w:tcPr>
            <w:tcW w:w="5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40" w:type="dxa"/>
            <w:vAlign w:val="bottom"/>
            <w:gridSpan w:val="3"/>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14</w:t>
            </w:r>
          </w:p>
        </w:tc>
        <w:tc>
          <w:tcPr>
            <w:tcW w:w="680" w:type="dxa"/>
            <w:vAlign w:val="bottom"/>
            <w:gridSpan w:val="5"/>
          </w:tcPr>
          <w:p>
            <w:pPr>
              <w:spacing w:after="0"/>
              <w:rPr>
                <w:sz w:val="18"/>
                <w:szCs w:val="18"/>
                <w:color w:val="auto"/>
              </w:rPr>
            </w:pPr>
          </w:p>
        </w:tc>
        <w:tc>
          <w:tcPr>
            <w:tcW w:w="5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600" w:type="dxa"/>
            <w:vAlign w:val="bottom"/>
            <w:gridSpan w:val="4"/>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PART IV</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0"/>
              </w:rPr>
              <w:t>Item 15</w:t>
            </w:r>
          </w:p>
        </w:tc>
        <w:tc>
          <w:tcPr>
            <w:tcW w:w="120" w:type="dxa"/>
            <w:vAlign w:val="bottom"/>
            <w:tcBorders>
              <w:top w:val="single" w:sz="8" w:color="0000FF"/>
            </w:tcBorders>
            <w:gridSpan w:val="2"/>
          </w:tcPr>
          <w:p>
            <w:pPr>
              <w:spacing w:after="0"/>
              <w:rPr>
                <w:sz w:val="24"/>
                <w:szCs w:val="24"/>
                <w:color w:val="auto"/>
              </w:rPr>
            </w:pPr>
          </w:p>
        </w:tc>
        <w:tc>
          <w:tcPr>
            <w:tcW w:w="560" w:type="dxa"/>
            <w:vAlign w:val="bottom"/>
            <w:gridSpan w:val="3"/>
          </w:tcPr>
          <w:p>
            <w:pPr>
              <w:spacing w:after="0"/>
              <w:rPr>
                <w:sz w:val="24"/>
                <w:szCs w:val="24"/>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16</w:t>
            </w:r>
          </w:p>
        </w:tc>
        <w:tc>
          <w:tcPr>
            <w:tcW w:w="680" w:type="dxa"/>
            <w:vAlign w:val="bottom"/>
            <w:gridSpan w:val="5"/>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gridSpan w:val="5"/>
          </w:tcPr>
          <w:p>
            <w:pPr>
              <w:spacing w:after="0"/>
              <w:rPr>
                <w:sz w:val="18"/>
                <w:szCs w:val="18"/>
                <w:color w:val="auto"/>
              </w:rPr>
            </w:pPr>
          </w:p>
        </w:tc>
        <w:tc>
          <w:tcPr>
            <w:tcW w:w="4900" w:type="dxa"/>
            <w:vAlign w:val="bottom"/>
            <w:gridSpan w:val="9"/>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0000FF"/>
                <w:w w:val="71"/>
              </w:rPr>
              <w:t>S-1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color w:val="0000FF"/>
                <w:w w:val="73"/>
              </w:rPr>
              <w:t>E-1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is for the year ended December 31, 2023. The United States Securities and Exchange Commission (“SEC”) allows us to “incorporate by reference” information that we file with the SEC, which means that we can disclose important information to you by referring you directly to those documents. Information incorporated by reference is considered to be part of this annual report. In addition, information that we file with the SEC in the future will automatically update and supersede information contained in this annual report. In this annual report, “Charter,” “we,” “us” and “our” refer to Charter Communications, Inc. and its subsidiaries.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includes forward-looking statements within the meaning of Section 27A of the Securities Act of 1933, as amended, and Section 21E of the Securities Exchange Act of 1934, as amended, regarding, among other things, our plans, strategies and prospects, both business and financial including, without limitation, the forward-looking statements set forth in Part I. Item 1. under the heading “Business” and in Part II. Item 7. under the heading “Management’s Discussion and Analysis of Financial Condition and Results of Operations” in this annual report.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Part I. Item 1A. under “Risk Factors” and in Part II. Item 7. under the heading, “Management’s Discussion and Analysis of Financial Condition and Results of Operations” in this annual report. Many of the forward-looking statements contained in this annual report may be identified by the use of forward-looking words such as “believe,”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annual report are set forth in this annual report and in other reports or documents that we file from time to time with the SEC, and include, but are not limited to:</w:t>
      </w:r>
    </w:p>
    <w:p>
      <w:pPr>
        <w:spacing w:after="0" w:line="214"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 grow revenues and cash flow from operations by offering Internet, video, voice, mobile,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from other market participants, including but not limited to incumbent telephone companies, direct broadcast satellite ("DBS") operators, wireless broadband and telephone providers, digital subscriber line (“DSL”) providers, fiber to the home providers and providers of video content over broadband Internet connections;</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conditions, unemployment levels and the level of activity in the housing sector and economic uncertainty or downturn;</w:t>
      </w:r>
    </w:p>
    <w:p>
      <w:pPr>
        <w:ind w:left="340" w:hanging="332"/>
        <w:spacing w:after="0" w:line="24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programming at reasonable prices or to raise prices to offset, in whole or in part, the effects of higher programming costs (including retransmission consents and distribution requirements);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new products and technologies including consumer services and service platforms;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that disrupt our networks, information systems or properties and impair our operating activities or our reputation;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governmental regulation on our business including subsidies to consumers, subsidies and incentives for competitors, costs, disruptions and possible limitations on operating flexibility related to, and our ability to comply with, regulatory conditions applicable to us;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hire and retain key personnel;</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necessary services and equipment from our vendors in a timely manner and at reasonable costs including in connection with our network evolution and rural construction initiatives;</w:t>
      </w: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access, in general, of funds to meet our debt obligations prior to or when they become due and to fund our operations and necessary capital expenditures, either through (i) cash on hand, (ii) free cash flow, or (iii) access to the capital or credit markets; and</w:t>
      </w: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all covenants in our indentures and credit facilities, any violation of which, if not cured in a timely manner, could trigger a default of our other obligations under cross-default provisions.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 acting on our behalf are expressly qualified in their entirety by this cautionary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under no duty or obligation to update any of the forward-looking statements after the date of this annual report.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We are a leading broadband connectivity company and cable operator serving more than 32 million customers in 41 states through our Spectrum brand. Over an advanced communications network, we offer a full range of state-of-the-art residential and business services including Spectrum Internet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TV, Mobile and Voice. For small and medium-sized companies, Spectrum Business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the same suite of broadband products and services coupled with special features and applications to enhance productivity, while for larger businesses and government entities, Spectrum Enterprise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provides highly customized, fiber-based solutions. Spectrum Reach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tailored advertising and production for the modern media landscape. We also distribute award-winning news coverage and sports programming to our customers through Spectrum Networks.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network, which we own and operate, passes nearly an estimated 57 million households and businesses across the United States. Our strategy is focused on the evolution of our network and products, expansion of our footprint, and the execution of high quality operations, including customer service. This strategy allows us to maintain a state-of-the-art network delivering the most compelling converged connectivity services in a capital and time-efficient manner, and in turn, offer advanced services to consumers at highly attractive prices, together with outstanding customer service. Offering high quality, competitively priced products and outstanding service allows us to increase both the number of customers we serve over our network and the number of products we sell to each customer. This combination also reduces the number of service transactions we perform per relationship, yielding higher customer satisfaction and lower customer churn, which results in lower costs to acquire and serve customers and greater profitability.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Evolution – Expanding the Capability of Our Network and Products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network and product evolution plan is progressing, with a clear path to delivering symmetrical and multi-gig speeds to our customers across our footprint, meeting the needs of today and anticipating the demand for faster speeds for years to come. We continue to evolve our hybrid fiber coaxial network using a number of technologies, including spectrum expansion, initially to 1.2 GHz and then to 1.8 GHz, changing the bandwidth allocation to a "high split" to increase upstream speeds, Distributed Access Architecture ("DAA") and DOCSIS 4.0 technology. Through this process, which we expect to complete in 2026, we will transform our network to enable multi-gigabit data speeds to customers. Those faster speeds will be offered in conjunction with our Spectrum Mobile product and Advanced WiFi, providing customers seamless and convenient, ultra-fast converged connectivity in attractively priced packages, such as our Spectrum One offer. In addition, we expect our network evolution to enable us to offer fiber on demand across the majority of our footprint. In October 2023, we began deploying Xumo Stream Boxes ("Xumo") to new video customers. Xumo combines a live TV experience with access to hundreds of content applications, and features unified search and discovery, along with a curated content offering based on the customer's interests and subscriptions. Combined with our Spectrum TV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 Xumo is now our preferred go-to-market platform for new video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 Building Our Future by Extending Our Network</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inception in the beginning of 2022, we have spent $3.4 billion on our subsidized rural construction initiative and activated approximately 420,000 passings. Rural builds present strategic footprint expansion opportunities to unserved and underserved passings. Including amounts spent to date, we expect to invest over $8 billion in total in our subsidized rural construction initiative, a portion of which we expect to offset with government funding, including over $2 billion of support awarded through December 31, 2023 in the Rural Development Opportunity Fund (“RDOF”) auction and other federal, state and municipal grants. We also expect to participate in additional federal, state and municipal grant programs over the coming years, including the Broadband Equity, Access and Deployment ("BEAD") program, if regulatory conditions are conducive to private investment. Our rural investments will allow us to offer a suite of broadband connectivity services, including fixed Internet, WiFi and mobile to over 1.6 million passings in unserved areas in states where we currently operate. We have also renewed our focus on building to more passings inside and at the edge of our existing and expanding network. To accomplish all of this, we have invested in new teams, new training and new equipment. These investments will allow us to generate long-term infrastructure-style returns by taking further advantage of our scale efficiencies, network quality and construction capabilities, while offering our high quality products and services to more homes and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Execution – Turning Our Strategy Into Success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strategy is grounded in our desire to deliver high quality products to consumers at an attractive price. In addition, our focus on service quality complements our products and price. We are improving the customer experience by digitizing service where customers prefer, performing proactive maintenance, and improving the quality of our interactions by investing in our systems and operations teams. As part of our investment in operations teams, we have made targeted adjustments to job structure, pay and benefits and career paths to improve the skills and tenure of our workforce.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400 Washington Blvd., Stamford, Connecticut 06902. Our telephone number is (203) 905-7801, and we have a website accessible at ir.charter.com. Our Annual Reports on Form 10-K, Quarterly Reports on Form 10-Q and Current Reports on Form 8-K, and all amendments thereto, are available on our website free of charge as soon as reasonably practicable after they have been filed. The information posted on our website is not incorporated into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Corporate Entity Structure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 below sets forth our entity structure and that of our direct and indirect subsidiaries. The chart does not include all of our affiliates and subsidiaries and, in some cases, we have combined separate entities for presentation purposes. The equity ownership percentages shown below for Charter Communications Holdings, LLC (“Charter Holdings”) are approximations. Indebtedness amounts shown below are principal amounts as of December 31, 2023. See Note 8 to the accompanying consolidated financial statements contained in “Part II. Item 8. Financial Statements and Supplementary Data,” which also includes the accreted values of the indebtedness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-8255</wp:posOffset>
            </wp:positionV>
            <wp:extent cx="5212080" cy="68237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682371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Footprint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geographically diverse areas which are managed centrally on a consolidated level. The map below highlights our footprint along with our planned rural expansion over the next several years based on grants awarded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-22225</wp:posOffset>
            </wp:positionV>
            <wp:extent cx="5863590" cy="4526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our customers subscription-based Internet services, video services, and mobile and voice services, with prices and related charges based on the types of service selected, whether the services are sold as a “bundle” or on an individual basis, and based on the equipment necessary to receive our services. Bundled services, including some combination of our Internet, video, voice and/or mobile products are available to substantially all of our passings.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customer statistics for Internet, video, voice and mobile as of December 31, 2023 and 2022 (in thousands except per customer data and footnotes).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Approximate as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Customer Relationships </w:t>
            </w:r>
            <w:r>
              <w:rPr>
                <w:rFonts w:ascii="Times New Roman" w:cs="Times New Roman" w:eastAsia="Times New Roman" w:hAnsi="Times New Roman"/>
                <w:sz w:val="23"/>
                <w:szCs w:val="23"/>
                <w:b w:val="1"/>
                <w:bCs w:val="1"/>
                <w:color w:val="auto"/>
                <w:vertAlign w:val="superscript"/>
              </w:rPr>
              <w:t>(b)</w:t>
            </w:r>
          </w:p>
        </w:tc>
        <w:tc>
          <w:tcPr>
            <w:tcW w:w="300" w:type="dxa"/>
            <w:vAlign w:val="bottom"/>
          </w:tcPr>
          <w:p>
            <w:pPr>
              <w:spacing w:after="0"/>
              <w:rPr>
                <w:sz w:val="19"/>
                <w:szCs w:val="19"/>
                <w:color w:val="auto"/>
              </w:rPr>
            </w:pPr>
          </w:p>
        </w:tc>
        <w:tc>
          <w:tcPr>
            <w:tcW w:w="13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23"/>
                <w:szCs w:val="23"/>
                <w:b w:val="1"/>
                <w:bCs w:val="1"/>
                <w:color w:val="auto"/>
                <w:vertAlign w:val="superscript"/>
              </w:rPr>
              <w:t>(a)</w:t>
            </w:r>
          </w:p>
        </w:tc>
        <w:tc>
          <w:tcPr>
            <w:tcW w:w="500" w:type="dxa"/>
            <w:vAlign w:val="bottom"/>
          </w:tcPr>
          <w:p>
            <w:pPr>
              <w:spacing w:after="0"/>
              <w:rPr>
                <w:sz w:val="19"/>
                <w:szCs w:val="19"/>
                <w:color w:val="auto"/>
              </w:rPr>
            </w:pPr>
          </w:p>
        </w:tc>
        <w:tc>
          <w:tcPr>
            <w:tcW w:w="1000" w:type="dxa"/>
            <w:vAlign w:val="bottom"/>
          </w:tcPr>
          <w:p>
            <w:pPr>
              <w:jc w:val="right"/>
              <w:ind w:right="370"/>
              <w:spacing w:after="0" w:line="223" w:lineRule="exact"/>
              <w:rPr>
                <w:sz w:val="20"/>
                <w:szCs w:val="20"/>
                <w:color w:val="auto"/>
              </w:rPr>
            </w:pPr>
            <w:r>
              <w:rPr>
                <w:rFonts w:ascii="Times New Roman" w:cs="Times New Roman" w:eastAsia="Times New Roman" w:hAnsi="Times New Roman"/>
                <w:sz w:val="18"/>
                <w:szCs w:val="18"/>
                <w:b w:val="1"/>
                <w:bCs w:val="1"/>
                <w:color w:val="auto"/>
                <w:w w:val="88"/>
              </w:rPr>
              <w:t xml:space="preserve">2022 </w:t>
            </w:r>
            <w:r>
              <w:rPr>
                <w:rFonts w:ascii="Times New Roman" w:cs="Times New Roman" w:eastAsia="Times New Roman" w:hAnsi="Times New Roman"/>
                <w:sz w:val="23"/>
                <w:szCs w:val="23"/>
                <w:b w:val="1"/>
                <w:bCs w:val="1"/>
                <w:color w:val="auto"/>
                <w:w w:val="88"/>
                <w:vertAlign w:val="superscript"/>
              </w:rPr>
              <w:t>(a)</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80" w:type="dxa"/>
            <w:vAlign w:val="bottom"/>
            <w:gridSpan w:val="7"/>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Small and Medium Business ("SMB")</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Monthly Residential Revenue per Residential Customer </w:t>
            </w:r>
            <w:r>
              <w:rPr>
                <w:rFonts w:ascii="Times New Roman" w:cs="Times New Roman" w:eastAsia="Times New Roman" w:hAnsi="Times New Roman"/>
                <w:sz w:val="23"/>
                <w:szCs w:val="23"/>
                <w:color w:val="auto"/>
                <w:vertAlign w:val="superscript"/>
              </w:rPr>
              <w:t>(c)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gridSpan w:val="7"/>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Monthly SMB Revenue per SMB Customer </w:t>
            </w:r>
            <w:r>
              <w:rPr>
                <w:rFonts w:ascii="Times New Roman" w:cs="Times New Roman" w:eastAsia="Times New Roman" w:hAnsi="Times New Roman"/>
                <w:sz w:val="23"/>
                <w:szCs w:val="23"/>
                <w:color w:val="auto"/>
                <w:vertAlign w:val="superscript"/>
              </w:rPr>
              <w:t>(d)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Internet</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Internet Customers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7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Video</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Video Customers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Voice</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Voice Customers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7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Mobile Lines </w:t>
            </w:r>
            <w:r>
              <w:rPr>
                <w:rFonts w:ascii="Times New Roman" w:cs="Times New Roman" w:eastAsia="Times New Roman" w:hAnsi="Times New Roman"/>
                <w:sz w:val="21"/>
                <w:szCs w:val="21"/>
                <w:b w:val="1"/>
                <w:bCs w:val="1"/>
                <w:color w:val="auto"/>
                <w:vertAlign w:val="superscript"/>
              </w:rPr>
              <w:t>(e)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020" w:type="dxa"/>
            <w:vAlign w:val="bottom"/>
            <w:tcBorders>
              <w:top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w w:val="98"/>
              </w:rPr>
              <w:t>Residential</w:t>
            </w:r>
          </w:p>
        </w:tc>
        <w:tc>
          <w:tcPr>
            <w:tcW w:w="6760" w:type="dxa"/>
            <w:vAlign w:val="bottom"/>
            <w:tcBorders>
              <w:top w:val="single" w:sz="8" w:color="CCEEFF"/>
            </w:tcBorders>
            <w:gridSpan w:val="3"/>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Mobile Lines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43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Enterprise Primary Service Units ("PSUs") </w:t>
            </w:r>
            <w:r>
              <w:rPr>
                <w:rFonts w:ascii="Times New Roman" w:cs="Times New Roman" w:eastAsia="Times New Roman" w:hAnsi="Times New Roman"/>
                <w:sz w:val="21"/>
                <w:szCs w:val="21"/>
                <w:b w:val="1"/>
                <w:bCs w:val="1"/>
                <w:color w:val="auto"/>
                <w:vertAlign w:val="superscript"/>
              </w:rPr>
              <w:t>(f)</w:t>
            </w:r>
          </w:p>
        </w:tc>
        <w:tc>
          <w:tcPr>
            <w:tcW w:w="3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340" w:hanging="332"/>
        <w:spacing w:after="0" w:line="243" w:lineRule="auto"/>
        <w:tabs>
          <w:tab w:leader="none" w:pos="335"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the aging of customer accounts based on the monthly billing cycle for each account in accordance with our collection policies. On that basis, as of December 31, 2023 and 2022, customers include approximately 135,800 and 144,100 customers, respectively, whose accounts were over 60 days past due, approximately 54,700 and 52,800 customers, respectively, whose accounts were over 90 days past due, and approximately 286,000 and 214,100 customers, respectively, whose accounts were over 120 days past due. Bad debt expense associated with these past due accounts has been reflected in our consolidated statements of operations. The increase in accounts past due more than 120 days is predominately due to pre-existing and incremental unsubsidized amounts of customers’ bills for those customers participating in government assistance programs, including video services. These customers are downgraded to a subsidized Internet-only service.</w:t>
      </w:r>
    </w:p>
    <w:p>
      <w:pPr>
        <w:spacing w:after="0" w:line="5" w:lineRule="exact"/>
        <w:rPr>
          <w:rFonts w:ascii="Times New Roman" w:cs="Times New Roman" w:eastAsia="Times New Roman" w:hAnsi="Times New Roman"/>
          <w:sz w:val="23"/>
          <w:szCs w:val="23"/>
          <w:color w:val="auto"/>
          <w:vertAlign w:val="superscript"/>
        </w:rPr>
      </w:pPr>
    </w:p>
    <w:p>
      <w:pPr>
        <w:jc w:val="both"/>
        <w:ind w:left="340" w:hanging="332"/>
        <w:spacing w:after="0" w:line="234" w:lineRule="auto"/>
        <w:tabs>
          <w:tab w:leader="none" w:pos="32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Customer relationships include the number of customers that receive one or more levels of service, encompassing Internet, video, voice and mobile services, without regard to which service(s) such customers receive. Customers who reside in residential multiple dwelling units (“MDUs”) and that are billed under bulk contracts are counted based on the number of billed units within each bulk MDU. Total customer relationships exclude enterprise and mobile-only customer relationships.</w:t>
      </w:r>
    </w:p>
    <w:p>
      <w:pPr>
        <w:ind w:left="340" w:hanging="332"/>
        <w:spacing w:after="0" w:line="219" w:lineRule="auto"/>
        <w:tabs>
          <w:tab w:leader="none" w:pos="335"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Monthly residential revenue per residential customer is calculated as total residential annual revenue divided by twelve divided by average residential customer relationships during the respective year and excludes mobile-only customers.</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2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Monthly SMB revenue per SMB customer is calculated as total SMB annual revenue divided by twelve divided by average SMB customer relationships during the respective year and excludes mobile-only customers.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ind w:left="340" w:hanging="332"/>
        <w:spacing w:after="0" w:line="229" w:lineRule="auto"/>
        <w:tabs>
          <w:tab w:leader="none" w:pos="33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Mobile lines include phones and tablets which require one of our standard rate plans (e.g., "Unlimited" or "By the Gig"). Mobile lines exclude wearables and other devices that do not require standard phone rate plans.</w:t>
      </w:r>
    </w:p>
    <w:p>
      <w:pPr>
        <w:ind w:left="340" w:hanging="332"/>
        <w:spacing w:after="0" w:line="219" w:lineRule="auto"/>
        <w:tabs>
          <w:tab w:leader="none" w:pos="33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Enterprise PSUs represent the aggregate number of fiber service offerings counting each separate service offering at each customer location as an individual PSU.</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Connectivity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our customers with a suite of broadband connectivity services, including fixed Internet, WiFi and mobile, which when bundled together provides our customers with a differentiated converged connectivity experience while saving consumers and businesses money.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Spectrum Internet products with speeds up to 1 Gbps across our entire footprint. Spectrum Internet bundled with our in-home Advanced WiFi allows multiple people within a single household to stream high definition (“HD”) video content while simultaneously using our Internet service for other purposes including two-way video conferencing, gaming and virtual reality, among other things.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in-home WiFi product provides our Internet customers with high performance wireless routers and a managed WiFi service to maximize their wireless Internet experience. We offer Advanced WiFi service across all of our footprint along with WiFi 6E routers capable of delivering speeds over 2 Gbps. With Advanced WiFi, customers enjoy a cloud-optimized WiFi connection and have the ability to view and control their WiFi network through our Spectrum app (“My Spectrum App”). The service enables parental control schedules to be set for children’s devices or to limit access entirely to unknown devices attempting to access the network. We also offer Spectrum Security Shield across our footprint which protects all devices in the home using network-based security. Spectrum Security Shield is an automatically-enabled security feature that works to defend our customers and their devices from online threats by detecting and blocking malicious websites, phishing scams, data theft and Internet-originated attacks against devices in the home. Customers also have the option to add Spectrum WiFi pods to Advanced WiFi. WiFi pods are small, discreet access points that plug into electrical outlets in the home, providing broader and more consistent WiFi coverage.</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offer the capabilities of the Advanced WiFi service to MDUs as Advanced Community WiFi (“ACW”). With ACW, tenants receive the same visibility and control over their apartment’s WiFi networks through the My Spectrum App, while building managers will be able to see and manage the entire building’s network through a purpose-built property service portal.</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Spectrum Mobile service is offered to customers subscribing to our Internet service and uses both our Spectrum Mobile network (comprised of out-of-home WiFi access points across our footprint combined with out-of-home WiFi access points from other networks with which we partner) as well as leveraging Verizon Communications Inc.’s ("Verizon") cellular network. We leverage the Verizon cellular network to provide nationwide coverage including unlimited calls, text and data using Verizon’s fourth generation and fifth generation ("5G") service including their 5G wide band services. Spectrum Mobile also uses Verizon’s international roaming partner network to ensure customers have coverage around the globe. Customers can use their Spectrum Mobile device to connect to their Spectrum WiFi, which increases speeds and provides a superior experience while in the home. In addition, we continue to focus on improving the customer experience and integrating our mobile and fixed Internet products with enhancements such as Spectrum Mobile Speed Boost (“Speed Boost”). Customers are eligible for Speed Boost if they have both Spectrum Mobile and Spectrum Internet, a DOCSIS 3.1 modem and an Advanced WiFi router. When connected on their Spectrum Mobile device through Advanced WiFi service, customers are now experiencing the fastest overall speeds up to 1 Gbps.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wireline voice communications services using voice over Internet protocol ("VoIP") technology to transmit digital voice signals over our network. Our voice services include unlimited local and long distance calling to the United States, Canada, Mexico and Puerto Rico, voicemail, call waiting, caller ID, call forwarding and other features and offers international calling either by the minute, or through packages of minutes per month. For customers that subscribe to both our voice and video offerings, caller ID on TV is also available in most areas. We also offer Call Guard, an advanced caller ID and robocall blocking solution, for our residential and SMB voice customers. Call Guard reduces customer frustration and improves security by blocking malicious calls while ensuring our customers continue to receive the legitimate automated calls they need from schools or healthcare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Video Services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our customers with a choice of video programming services on a variety of platforms including through a digital Spectrum Receiver or an Internet Protocol ("IP") device. Video customers have access to a variety of programming packages with approximately 375 channels available in home and out of home allowing our customers to access the programming they want, when they want it, on any device. Our video customers also have access to programmer authenticated applications such as Fox Sports, Starz, NBC, ESPN and CBS and direct-to-consumer ("DTC") applications such as Disney+ which, beginning in 2024, is included with a customer’s video subscription at no additional cost.</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video service also includes access to an interactive programming guide with parental controls, and in virtually all of our footprint, video on demand (“VOD”) or pay-per-view services. VOD service allows customers to select from approximately 90,000 titles at any time. VOD programming options may be accessed at no additional cost if the content is associated with a customer’s linear subscription, or for a fee on a transactional basis. VOD services are also offered on a subscription basis, included in a digital tier premium channel subscription, or for a monthly fee. Pay-per-view channels allow customers with a set-top box to pay on a per-event basis to view a single showing of a one-time special sporting event, music concert, or similar event on a commercial-free basis. We also offer digital video recorder (“DVR”) service that enables customers to digitally record programming and to pause and rewind live programming on set-top boxes. Our cloud DVR service allows customers to schedule, record and watch their favorite programming anytime from the Spectrum TV app as well as SpectrumTV.com.</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2023, we began deploying Xumo to new video customers. Xumo combines a live TV experience with access to hundreds of content applications and features unified search and discovery along with a curated content offering based on the customer's interests and subscriptions. Combined with our Spectrum TV app, Xumo is now our preferred go-to-market platform for new video sales.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are increasingly accessing their subscription video content through our highly rated Spectrum TV app via mobile devices and connected IP devices, such as Xumo, Roku and Samsung TV. Access to the Spectrum TV app is included in all Spectrum TV video plans. The Spectrum TV app allows users to stream content across a growing number of platforms as well as access their full TV lineup and watch on demand content. It also supports DVR functionality through our cloud DVR offering.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offer scalable broadband communications solutions for businesses and carrier organizations of all sizes, selling Internet access, data networking, fiber connectivity to cellular towers and office buildings, video entertainment services and business telephone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 and Medium Business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Spectrum Business offers Internet, voice and video services to SMBs over our hybrid fiber coaxial network. In 2023, we launched Advanced WiFi service to SMBs, which leverages the residential platform features, including Security Shield, with features specific to small and medium-size business such as a guest service set identifier (“SSID”). In addition, we offer our Spectrum Mobile service to SMB customers. Spectrum Business includes a full range of video programming and offers Internet speeds up to 1 Gbps across our entire footprint. Spectrum Business also includes a set of business services including static IP and business WiFi, e-mail and security, and voice services through either a traditional voice offering or hosted voice solution. Spectrum Business Connect with RingCentral is an SMB communications solution that includes Spectrum Internet, voice and complementary mobility features allowing our customers’ remote and office employees to stay more easily connected regardless of their location. We also offer Wireless Internet Backup to our SMB customers which is designed to enhance and protect Internet service for SMBs in the event of a network disruption.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Spectrum Enterprise offers tailored communications products and managed service solutions over a high-capacity last-mile network with speeds up to 100 Gbps to larger businesses and government entities (local, state and federal), in addition to wholesale services to mobile and wireline carriers. The Spectrum Enterprise product portfolio includes connectivity services such as Internet Access (fiber, wireless and coax delivered); Wide Area Network ("WAN") solutions (Ethernet, Software Defined (“SD”)-WAN and cloud connectivity) that privately and securely connect geographically dispersed customer locations and cloud service providers; and Managed Services which address a wide range of enterprise networking (e.g. routing, Local Area Network (“LAN”), WiFi) and security (e.g. firewall, Distributed Denial of Service (“DDoS”) protection) challenges.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meet the communications needs of these more sophisticated customers, Spectrum Enterprise also offers an array of voice trunking services and unified messaging, communications and collaboration solutions. We offer Unified Communications with RingCentral, which integrates Spectrum Enterprise’s managed services to complement its other solutions and gives customers more choices for enhancing their digital experience across locations and devices. In addition, for industries such as hospitality, education and healthcare where specialized video solutions are demanded, Spectrum Enterprise offers a wide range of solutions designed to meet those requirements. Spectrum Enterprise serves businesses nationally by combining its large serviceable footprint with a robust portfolio of fiber lit buildings and a significant wholesale partner network. As a result, these customers benefit by obtaining advanced solutions from a single provider who is committed to an exceptional customer experience and who delivers compelling value by simplifying procurement and offering competitive pricing potentially reducing our customers' costs.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Services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advertising sales division, Spectrum Reach, offers local, regional and national businesses the opportunity to advertise in individual and multiple service areas on cable television networks, various streaming services and numerous advanced advertising platforms. We receive revenues from the sale of local advertising across various platforms for networks such as TBS, CNN and ESPN. We insert local advertising on up to 100 channels in over 90 markets. Our large footprint provides opportunities for advertising customers to address broader regional audiences from a single provider and thus reach more customers with a single transaction. Our size also provides scale to invest in new technology to create more targeted and addressable advertising capabilities.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Available advertising time is generally sold by our advertising sales force. In some service areas, we have formed advertising interconnects or entered into representation agreements with other video distributors, including, among others, Verizon, DirecTV and Comcast, under which we sell advertising on behalf of those operators. In other service areas, we enter into representation agreements under which another operator in the area will sell advertising on our behalf. These arrangements enable us and our partners to represent and deliver commercials on their inventory across wider geographic areas, replicating the reach of local broadcast television stations to the extent possible. In addition, we enter into interconnect agreements from time to time with other cable operators, which, on behalf of a number of video operators, sells advertising time to national and regional advertisers in individual or multiple service areas.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sell the advertising inventory of our owned and operated local sports and news channels, of our regional sports networks that carry Los Angeles Lakers’ basketball games and other sports programming and of SportsNet LA, a regional sports network that carries Los Angeles Dodgers’ baseball games and other sports programming.</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other multichannel video programming distributors (“MVPDs”), Spectrum Reach enables multi-channel cable networks (e.g. AMC, Univision) to deploy household addressability on their own inventory in our footprint, charging them an enablement fee. We also offer Ad Portal, which allows small businesses to purchase local cable advertising and/or creative services via our web portal with limited sales personnel interaction at a price within their budgets. Our fully deployed Audience App, which uses our proprietary set-top box viewership data (all anonymized and aggregated), allows us to create data-driven linear TV campaigns for local advertisers. Spectrum Reach also offers a programmatic sales platform allowing advertising agencies and advertisers to buy inventory in a fully automated way. Streaming TV, which is largely comprised of Spectrum TV app impressions, as well as those from numerous over-the-top streaming content providers, is part of our suite of advanced advertising products available to the marketplace. Spectrum Reach is also now employing multi-screen deterministic attribution services for television and streaming services that lets advertisers know the effectiveness of their advertising on Spectrum Reach’s platform.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Sports Networks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agreement with the Los Angeles Lakers for rights to distribute all locally available Los Angeles Lakers’ games through 2033. We broadcast those games on our regional sports network, Spectrum SportsNet. American Media Productions, LLC ("American Media Productions"), an unaffiliated third party, owns SportsNet LA, a regional sports network carrying the Los Angeles Dodgers’ baseball games and other sports programming. In accordance with agreements with American Media Productions, we act as the network’s exclusive affiliate and advertising sales representative and have certain branding and programming rights with respect to the network. In addition, we provide certain production and technical services to American Media Productions. The affiliate, advertising, production and programming agreements continue through 2038. We also own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26.8% of Sterling Entertainment Enterprises, LLC (doing business as SportsNet New York), a New York City-based regional sports network that carries New York Mets’ baseball games as well as other regional sports programming.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 Channels</w:t>
      </w:r>
    </w:p>
    <w:p>
      <w:pPr>
        <w:spacing w:after="0" w:line="2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own and manage 38 local news channels, including Spectrum News NY1</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Spectrum News SoCal, 24-hour news channels focused on New York City and Los Angeles, respectively. Our local news channels connect the diverse communities and neighborhoods we serve providing 24/7 news, weather and community content focused on hyperlocal stories that address the deeper needs and interests of our customers. Customers can also read, watch and listen to news stories by our Spectrum News journalists and local partner publications on their mobile device on our Spectrum News application and certain smart TVs and streaming devices.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Solutions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Spectrum Community Solutions (“SCS”) delivers broadband connectivity solutions to apartments, single-family gated communities, off-campus student housing, senior residences and RV parks and marinas. Services offered by SCS include Internet speeds up to 2 Gbps, property-wide managed WiFi coverage, and traditional and streaming video packages, as well as customized fiber and coaxial solutions for new construction and established communities. SCS also manages our relationships with third-party resellers of Spectrum services to small and medium-size businesses as well as large, complex coax customers. In addition, SCS is responsible for our non-bulk MDU salesforce covering sales within existing, serviceable MDU properties. Our SCS bulk customers are serviced by dedicated call centers.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Our Products and Services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revenues are principally derived from the monthly fees customers pay for the services we provide. We typically charge a one-time installation fee which is sometimes waived or discounted in certain sales channels during certain promotional periods.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Spectrum pricing and packaging ("SPP") generally offers a standardized price across our services and add-on services allowing customers to design a bundle offering that fits their needs. We believe SPP:</w:t>
      </w:r>
    </w:p>
    <w:p>
      <w:pPr>
        <w:spacing w:after="0" w:line="189" w:lineRule="exact"/>
        <w:rPr>
          <w:sz w:val="20"/>
          <w:szCs w:val="20"/>
          <w:color w:val="auto"/>
        </w:rPr>
      </w:pPr>
    </w:p>
    <w:p>
      <w:pPr>
        <w:ind w:left="340" w:hanging="332"/>
        <w:spacing w:after="0" w:line="26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a higher quality and more value-based set of services relative to our competitors, including fast Internet speeds, hundreds of HD channels and a transparent pricing structure;</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simplicity for customers to understand our offers, and for our employees in service delivery;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drives our ability to package more services at the time of sale, thus increasing revenue per customer;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drives higher customer satisfaction, lower service calls and churn;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for gradual price increases at the end of promotional periods.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specialized offerings to enhance affordability of our Internet product for qualified low-income households, including Spectrum Internet Assist, a 50 megabits per second ("Mbps") service, and Internet 100, a 100 Mbps service. Both are low cost and include a modem for no additional charge. In addition, many of our customers are eligible for a subsidy through the Federal Communications Commission's ("FCC") Affordable Connectivity Program ("ACP") which provides eligible low-income households with up to $30 per month towards Internet service. The FCC has announced that ACP funding is expected to run out in April 2024 and has prohibited service providers from enrolling new ACP customers after February 7, 2024.</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Spectrum One offering, which brings together Spectrum Internet, Advanced WiFi and Unlimited Spectrum Mobile, offers consumers fast, reliable and secure online connections on their favorite devices at home and on-the-go in a high-value package. Alternatively, our mobile customers can choose one of two simple ways to pay for data. Customers can choose from unlimited or by-the-gig data usage plans and can easily switch between mobile data plans during the month. All plans include 5G service, free nationwide talk and text, and simple pricing that includes all taxes and fees. Customers can also purchase mobile devices and accessory products and have the option to pay for devices under interest-free monthly installment plans. Our device portfolio includes 5G models from Apple, Google and Samsung and we offer trade-in options along with a bring-your-own-device (“BYOD”) program which lowers the costs for our customers switching to Spectrum Mobile from other mobile operators.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Network Technology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network includes three key components: a national backbone, regional/metro networks and a “last-mile” network. Both our national backbone and regional/metro network components utilize a redundant IP ring/mesh fiber architecture. The national</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backbone component provides connectivity from regional demarcation points to nationally centralized content, connectivity and services. The regional/metro network components provide connectivity between the regional demarcation points and headends within a specific geographic area and enable the delivery of content and services between these network components.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last-mile network utilizes a hybrid fiber coaxial cable (“HFC”) architecture, which combines the use of fiber optic cable with coaxial cable. In most systems, we deliver our signals via fiber optic cable from the headend to a group of nodes, and use coaxial cable to deliver the signal from individual nodes to the homes served by that node. Our design standard allows spare fiber strands to each node to be utilized for additional residential traffic capacity, and enterprise customer needs as they arise. For our Spectrum Enterprise customers, fiber optic cable is extended to the customer’s site. For most new buildouts, including for our rural construction initiative, and MDU sites, we utilize a fiber deployment. We believe that this hybrid network design provides high capacity and signal quality with a cost efficient path to increased speeds.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HFC architecture benefits include:</w:t>
      </w:r>
    </w:p>
    <w:p>
      <w:pPr>
        <w:spacing w:after="0" w:line="25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bandwidth capacity to enable traditional and two-way video and broadband services;</w:t>
      </w:r>
    </w:p>
    <w:p>
      <w:pPr>
        <w:spacing w:after="0" w:line="28" w:lineRule="exact"/>
        <w:rPr>
          <w:rFonts w:ascii="Arial" w:cs="Arial" w:eastAsia="Arial" w:hAnsi="Arial"/>
          <w:sz w:val="18"/>
          <w:szCs w:val="18"/>
          <w:color w:val="auto"/>
        </w:rPr>
      </w:pPr>
    </w:p>
    <w:p>
      <w:pPr>
        <w:ind w:left="340" w:hanging="332"/>
        <w:spacing w:after="0" w:line="249" w:lineRule="auto"/>
        <w:tabs>
          <w:tab w:leader="none" w:pos="335"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dedicated bandwidth for delivering two-way services, signal quality and higher service reliability, which provides an advantage over fixed wireless offerings;</w:t>
      </w:r>
    </w:p>
    <w:p>
      <w:pPr>
        <w:ind w:left="320" w:hanging="312"/>
        <w:spacing w:after="0" w:line="235" w:lineRule="auto"/>
        <w:tabs>
          <w:tab w:leader="none" w:pos="32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the ability to upgrade capacity at a lower incremental capital cost relative to our competitors; and</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powered network enabling out-of-home Advanced WiFi and 5G small cell access points.</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systems currently provide a two-way all-digital platform, leveraging DOCSIS 3.1 technology and bandwidth of 750 megahertz or greater, to virtually all of our estimated passings. This bandwidth-rich network enables us to offer a large selection of HD channels and Spectrum Internet Gig across all of our footprint which enables us to provide fast, reliable and secure online connections, meeting current customer demands.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network evolution initiative, we are currently expanding our spectrum to 1.2 Ghz through a module upgrade in the hub, node and amplifier and using high splits and DAA to deliver multi-gig speed capabilities while using the current DOCSIS 3.1 customer premise equipment. When paired with the next generation of DOCSIS modem, DOCSIS 4.0, we will be able to deliver even faster speeds. Next, we will begin to deploy DOCSIS 4.0 technology in the network, and further increase our spectrum to 1.8 Ghz enabling even higher speed capabilities. This network evolution will also allow us to extend fiber services to the home in a success based “Fiber on Demand” manner.</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plan to complement our wireline investments with planned WiFi upgrades for in-home routers. With nearly 500 million devices connected wirelessly to our network in our customers' homes and businesses, we are unlocking our network investments for multi-gigabit speeds through the deployment of WiFi 6E which began in 2023, and a planned shift to WiFi 7 in late 2024.</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210 Citizen Broadband Radio Service ("CBRS") Priority Access Licenses ("PALs"). We intend to use these licenses along with unlicensed CBRS spectrum to build our own 5G data-only mobile network on targeted 5G small cell sites leveraging our HFC network to provide power and data connectivity to the majority of the sites. These 5G small cells, combined with growing WiFi capabilities, increase speed and reliability along with improving our cost structure through offload of wireless data onto our owned networks. In 2023, we commercialized our first market with our 5G network and will continue deploying 5G small cell sites in targeted areas of our footprint, as part of our broader multi-year 5G mobile network buildout, based on disciplined cost reduction targets.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Subsidized Rural Construction Initiative</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2023, we continued our subsidized rural construction initiative in which we intend to expand our network to offer a suite of broadband connectivity services, including fixed Internet, WiFi and mobile to over 1.6 million passings in unserved areas in states where we currently operate. Since inception in the beginning of 2022, we have spent $3.4 billion on our subsidized rural construction initiative and activated approximately 420,000 passings. Including amounts spent to date, we expect to invest over $8 billion in total over the next several years, a portion of which we expect to offset with government funding, including over $2 billion of support awarded through December 31, 2023 in the RDOF auction and other federal, state and municipal grants. We also expect to participate in additional federal, state and municipal grant programs over the coming years, including the BEAD program, if regulatory conditions are conducive to private investment. In addition to construction in areas subsidized by various government grants, we expect to continue rural construction in areas near our current plant and in areas surrounding subsidized construction where synergies can be achieved. These investments will allow us to generate long-term infrastructure-style returns by further taking advantage of our scale efficiencies, network quality and construction capabilities, while offering</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our high quality products and services to more homes and businesses. We expect these newly-served homes will be enabled to engage in remote work, virtual learning, telemedicine and other bandwidth-heavy applications that require high speed broadband connectivity. Newly-served rural areas will also benefit from our high-value SPP structure including our voice and mobile offerings, as well as our comprehensive selection of video products. The successful and timely execution of such fiber-based construction is dependent on a variety of external factors, including the make-ready and utility pole permitting processes. With fewer homes and businesses in these areas, broadband providers need to access multiple poles per home, as opposed to multiple homes per pole in higher-density settings. As a result, pole applications, pole replacement rules and their affiliated issue resolution processes are all factors that can have a significant impact on construction timing and speed to completion. The RDOF auction rules and other subsidy grants establish construction milestones for the build-out utilizing subsidized funding. Failure to meet those milestones could subject us to financial penalties.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Customer Operations and Marketing</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are centralized, with senior executives responsible for coordinating and overseeing operations, including establishing company-wide strategies, policies and procedures. Sales and marketing, field operations, customer operations, network operations, engineering, advertising sales, human resources, legal, government relations, information technology and finance are all directed at the corporate level. Regional and local field operations are responsible for customer premise service transactions and maintaining and constructing that portion of our network which is located outdoors. Our field operations strategy includes completing a significant portion of our activity with our employees which we find drives consistent and higher quality services. In 2023, our in-house field operations workforce handled approximately 80% of our customer premise service transactions. In addition, we have been growing our in-house construction teams to perform a portion of our network expansion initiatives.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focus on improving the customer experience through enhanced product offerings, reliability of services, and delivery of quality customer service. As part of our operating strategy, we insource most of our customer operations workload. Our in-house call centers handle all of our customer service calls. We manage our customer service call centers centrally to ensure a consistent, high quality customer experience. In addition, we route calls by call type to specific agents that only handle such call types, enabling agents to become experts in addressing specific customer needs, creating a better customer experience. Service from our call centers continues to become more efficient as a result of new tool enhancements that give our front-line customer service agents more context and real-time information about the customer and their services which allows them to more effectively troubleshoot and resolve issues. Our call center agent desktop interface tool enables virtualization of all call centers thereby better serving our customers. Virtualization allows calls to be routed across our call centers regardless of the location origin of the call, reducing call wait times, and saving costs.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provide customers with the opportunity to interact with us in the manner they choose through self-service options on our customer website and mobile device application, or via telephonic communication, online chat and social media. Our customer websites and mobile applications enable customers to pay their bills, manage their accounts, order and activate new services and utilize self-service help and support. In addition, our self-install program has been beneficial for customers who need flexibility in the timing of their installation.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sell our residential and commercial services using national brand platforms known as Spectrum, Spectrum Business, Spectrum Enterprise, Spectrum Reach and Spectrum Community Solutions. These brands reflect our comprehensive approach to industry-leading products, driven by speed, performance and innovation. Our marketing strategy emphasizes the sale of our bundled services through targeted direct response marketing programs to existing and potential customers, and increases awareness and the value of the Spectrum brand. Our marketing organization creates and executes marketing programs intended to grow customer relationships, increase the number of services we sell per relationship, retain existing customers and cross-sell additional products to current customers. We monitor the effectiveness of our marketing efforts, customer perception, competition, pricing, and service preferences, among other factors, in order to increase our responsiveness to our customers and to improve our sales and customer retention. The marketing organization manages all residential and SMB sales channels including inbound, direct sales, online, outbound telemarketing and stores.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Programming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offering a wide variety of video programming choices influences a customer’s decision to subscribe to and retain our video and Internet services. We obtain basic and premium programming, usually pursuant to written contracts from a number of suppliers. We are also beginning to obtain access to the related DTC services pursuant to those contracts. Media corporation and broadcast station group consolidation has, however, resulted in fewer suppliers and additional selling power on the part of programming suppliers.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Programming is usually made available to us for a license fee, which is generally paid based on the number of customers to whom we make that programming available. Programming license fees may include various discounts such as “volume” discounts and other financial incentives and/or ongoing marketing support, as well as discounts for service penetration. We receive revenue to carry home shopping channels. We also offer VOD and pay-per-view channels of movies and events that are subject to a revenue split with the content provider.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face intense competition for residential customers, both from existing competitors and, as a result of the rapid development of new technologies, services and products, from new entrants.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Internet Competition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residential Internet service faces competition across our footprint from fiber-to-the-home ("FTTH"), fixed wireless broadband, Internet delivered via satellite and DSL services. AT&amp;T Inc. ("AT&amp;T"), Frontier Communications Corporation (“Frontier”) and Verizon are our primary FTTH competitors. Given the FTTH deployments of our competitors, launches of broadband services offering 1 Gbps or more of speed have recently grown. Several competitors, including AT&amp;T, Frontier, Verizon, WideOpenWest, Inc. ("WOW") and Google Fiber, deliver 1 Gbps broadband speed (and some deliver multi Gbps) in at least a portion of their footprints which overlap our footprint. Additionally, several national mobile network operators offer long-term evolution (“LTE”) or 5G delivered fixed wireless home Internet service in our markets. In several markets, we also face competition from one or more fixed wireless providers that deliver point-to-point Internet connectivity. DSL service is offered across our footprint often at prices lower than our Internet services, although typically at speeds much lower than the minimum speeds we offer as part of SPP. In addition, commercial areas, such as retail malls, restaurants and airports, offer WiFi Internet service. Numerous local governments are also considering or actively pursuing publicly subsidized WiFi Internet access networks. In addition, providers are constructing open access networks that can deliver services from multiple underlying Internet service providers. These options offer alternatives to cable-based Internet access. We face terrestrial broadband Internet (defined as at least 25 Mbps) competition from three primary competitors, AT&amp;T, Frontier and Verizon, in approximately 35%, 11% and 6% of our operating footprint,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 Competition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residential video service faces growing competition across our footprint from a number of other sources, including companies that deliver linear network programming, movies and television shows on demand and other video content over broadband Internet connections to televisions, computers, tablets and mobile devices. These competitors include virtual MVPDs such as Hulu Live, YouTube TV, Sling TV, Philo and DirecTV Stream. Other online video business models and products have also developed, some offered by programmers, including, (i) subscription video on demand (“SVOD”) services such as Netflix, Apple TV+, Amazon Prime and Hulu Plus, (ii) programmer DTC applications such as Disney+, Peacock and Paramount+, (iii) ad-supported free online video products, including YouTube and Pluto TV, some of which offer programming for free to consumers that we currently purchase for a fee, (iv) pay-per-view products, such as iTunes, and (v) additional offerings from mobile providers which continue to integrate and bundle video services and mobile products. Historically, we have generally viewed SVOD online video services as complementary to our own video offering and, in the case of programmer DTC offerings, have begun to package the DTC services with the linear offerings. However, services from virtual MVPDs and DTC offerings, as well as piracy and password sharing, negatively impact the number of customers purchasing our video product.</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residential video service also faces competition from DBS service providers, which have a national footprint and compete in all of our operating areas. DBS providers offer satellite-delivered pre-packaged programming services that can be received by relatively small and inexpensive receiving dishes. DBS providers offer aggressive promotional pricing and video services that are comparable in many respects to our residential video service. Our residential video service also faces competition from large telecommunications companies, primarily Verizon, which offer wireline video services in significant portions of our operating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Voice Competition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residential voice service competes with wireless and wireline phone providers across our footprint, as well as other forms of communication, such as text messaging on cellular phones, instant messaging, social networking services, video conferencing and email. We also compete with “over-the-top” phone providers, such as Vonage, Skype, magicJack, Google Voice and Ooma, Inc., as well as companies that sell phone cards at a cost per minute for both national and international service. The increase in the number of different technologies capable of carrying voice services and the number of alternative communication options available to customers as well as the replacement of wireline services by wireless have intensified the competitive environment in which we operate our residential voice service.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Competition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mobile service faces competition from national mobile network operators including AT&amp;T, Verizon and T-Mobile US, Inc. ("T-Mobile"), as well as a variety of regional operators and mobile virtual network operators. Most carriers offer unlimited data packages to customers while some also offer free or highly discounted devices. Various operators also offer wireless Internet services delivered over networks which they continue to enhance to deliver faster speeds. AT&amp;T, Verizon and T-Mobile continue to expand 5G mobile services. Additionally, Dish Network Corporation completed its 5G network development and expansion and now offers 5G broadband service to over 70% of the U.S. population. We also compete for retail activations with other resellers that buy bulk wholesale service from wireless service providers for resale.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Competitors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some of our operating areas, other competitors have built networks that offer Internet, video and voice services that compete with our services. For example, in certain service areas, our residential Internet, video and voice services compete with WOW, altafiber, Google Fiber and Astound Broadband.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Competition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multi-channel video providers, cable systems compete with other sources of news, information and entertainment, including over-the-air television broadcast reception, live events, movie theaters and the Internet. Competition is also posed by fixed wireless and satellite master antenna television ("SMATV") systems serving MDUs, such as condominiums, apartment complexes, and private residential communities.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Services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intense competition across each of our business services product offerings. Our SMB Internet, video and voice services face competition from a variety of providers as described above. Our enterprise solutions also face competition from the competitors described above as well as cloud-based application-service providers, managed service providers and other telecommunications carriers, such as metro and regional fiber-based carriers.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intense competition for advertising revenue across many different platforms and from a wide range of local and national competitors. Advertising competition has increased and will likely continue to increase as new advertising platforms seek to attract the same advertisers. We compete for advertising revenue against, among others, local broadcast stations, national cable and broadcast networks, radio stations, print media, connected device platforms and online advertising companies and content providers.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Cyclicality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seasonal and cyclical variations. Our results are impacted by the seasonal nature of customers receiving our cable services in college and vacation service areas. Our revenue is subject to cyclical advertising patterns and changes in viewership levels. Our advertising revenue is generally higher in the second and fourth calendar quarters of each year, due in part to increases in consumer advertising in the spring and in the period leading up to and including the holiday season. U.S. advertising revenue is also cyclical, benefiting in even-numbered years from advertising related to candidates running for political office and issue-oriented advertising. Our capital expenditures and trade working capital are also subject to significant seasonality based on the timing of subscriber growth, network programs, specific projects and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summary addresses the key regulatory and legislative developments affecting the cable industry and our services for both residential and commercial customers. Cable systems and related communications networks and services are extensively regulated by the federal government (primarily the FCC), certain state governments and many local governments. A failure to comply with these regulations could subject us to substantial penalties. Our business can be dramatically impacted by changes to the existing regulatory framework, whether triggered by legislative, administrative, or judicial rulings. Congress and the FCC have frequently revisited the subject of communications regulation and they are likely to do so again in the future. We could be materially disadvantaged in the future if we are subject to new laws, regulations or regulatory actions that do not equally impact our key competitors. For example, Internet-delivered streaming video services compete with our traditional video service, but they are not subject to the same level of federal, state, and local regulation. We cannot provide assurance that the already extensive regulation of our business will not be expanded in the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Video Service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Must Carry/Retransmission Consent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two alternative legal methods for carriage of local broadcast television stations on cable systems. Federal “must carry” regulations require cable systems to carry local broadcast television stations upon the request of the local broadcaster. Alternatively, federal law includes “retransmission consent” regulations, by which popular commercial television stations can prohibit cable carriage unless the cable operator first negotiates for “retransmission consent,” which may be conditioned on significant payments or other concessions. Popular stations routinely invoke “retransmission consent” and demand substantial compensation increases in their negotiations with cable operators, thereby significantly increasing our operating costs.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Pole Attachments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Communications Act of 1934, as amended (the “Communications Act”), requires investor-owned utilities to provide cable systems with access to poles and conduits upon non-discriminatory terms and at rates that are subject to either federal or state regulation. The federally regulated rates applicable to pole attachments used for cable or telecommunications services, including when offered together with Internet service, are substantially similar. The FCC's approach does not directly affect the rate in states that self-regulate, but many of those states have substantially the same rate for all communications attachments. We sometimes face challenges getting access to poles in rural areas where upfront construction and make ready costs can be higher and where pole owners may be slow to grant our permit requests, especially when the FCC pole attachment rules do not apply.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FCC Regulatory Matters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Communications Act and FCC regulations cover a variety of additional areas applicable to our video services, including, among other things: (1) licensing of systems and facilities, including the grant of various spectrum licenses; (2) equal employment opportunity obligations; (3) customer service standards; (4) technical standards; (5) mandatory blackouts of certain network and syndicated programming; (6) restrictions on political advertising; (7) restrictions on advertising in children’s programming; (8) ownership restrictions; (9) posting of certain information on an FCC “public file” website, including but not limited to political advertising records, equal employment opportunity practices, compliance with children’s programming requirements, policies for commercial leased access, system information, and channel carriage information including disclosure of our ownership interests in channels we carry; (10) emergency alert systems; (11) inside wiring and contracts for MDU complexes; (12) accessibility of content, including requirements governing video-description and closed-captioning; (13) competitive availability of cable equipment; (14) the provision of up to 15% of video channel capacity for commercial leased access by unaffiliated third parties; and (15) public, education and government entity access requirements. Each of these regulations restricts our business practices to varying degrees and may impose additional costs on our operations.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FCC regulates spectrum usage in ways that could impact our operations including for microwave backhaul, broadcast, unlicensed WiFi and CBRS. Our ability to access and use spectrum that may become available in the future is uncertain and may be limited by further FCC auction or allocation decisions. New spectrum obtained by other parties could also lead to additional wireless competition to our existing and future services.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possible that Congress or the FCC will expand or modify its regulation of cable systems or the services delivered over cable systems and competing services in the future. For example, in December 2023, the FCC sought comment on a proposed rule that would prohibit cable television providers from charging fees for early termination of a contract and would require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them to provide a prorated credit or rebate for the remaining days in a billing cycle after the cancellation of video service. We cannot predict at this time what new requirements may be adopted and how such changes might impact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carriage of television and radio broadcast signals by cable systems are subject to a federal compulsory copyright license. The copyright law provides copyright owners the right to audit our payments under the compulsory license, and the Copyright Office is currently considering modifications to the license’s royalty calculations and reporting obligations. The possible modification or elimination of this license is the subject of continuing legislative proposals and administrative review and could adversely affect our ability to obtain desired broadcast programming.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Matters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cable systems generally are operated pursuant to nonexclusive franchises, permits, and similar authorizations granted by a municipality or other state or local government entity in order to utilize and cross public rights-of-way.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Cable franchises generally are granted for fixed terms and in many cases include monetary penalties for noncompliance and may be terminable if the franchisee fails to comply. The specific terms and conditions of cable franchises vary significantly between jurisdictions. They generally contain provisions governing cable operations, franchise fees, system construction, maintenance, technical performance, customer service standards, supporting and carrying public, education and government access channels, and changes in the ownership of the franchisee. Although local franchising authorities have considerable discretion in establishing franchise terms, certain federal protections benefit cable operators. For example, federal law imposes a cap on franchise fees of 5% of gross revenues from the provision of cable services over the cable system. In 2019, the FCC clarified that the value of in-kind contribution requirements set forth in cable franchises is subject to the statutory cap on franchise fees, and it reaffirmed that state and local authorities are barred from imposing franchise fees on revenues derived from non-cable services, such as Internet services, provided by cable operators over cable systems. Those rules were generally upheld by a federal court in 2021.</w:t>
      </w:r>
    </w:p>
    <w:p>
      <w:pPr>
        <w:spacing w:after="0" w:line="2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number of states have adopted franchising laws that provide for state-issued franchising. Generally, state-issued cable franchises are for a fixed term (or in perpetuity), streamline many of the traditional local cable franchise requirements and eliminate local negotiation and enforcement of terms.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Communications Act provides for an orderly franchise renewal process in which granting authorities may not unreasonably deny renewals. If we fail to obtain renewals of franchises representing a significant number of our customers, it could have a material adverse effect on our consolidated financial condition, results of operations, or our liquidity. Similarly, if a franchising authority’s consent is required for the purchase or sale of a cable system, the franchising authority may attempt to impose more burdensome requirements as a condition for providing its consent.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Service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FCC originally classified broadband Internet access services, such as those we offer, as an “information service,” which exempted the service from traditional communications common carrier laws and regulations. In 2015, the FCC reclassified broadband Internet access services as “telecommunications service” and, on that basis, imposed a number of “net neutrality” rules governing the provision of broadband service. In 2017, the FCC reversed its 2015 decision and eliminated the 2015 rules, other than a transparency requirement, which obligates us to disclose performance statistics and other service information to consumers. In 2023, the FCC opened a new net neutrality proceeding in which it proposed rules that would again reclassify our Internet access services as telecommunications services and thereby subject the services to additional regulation including rules that would prohibit Internet service providers from engaging in paid prioritization, throttling, or content blocking. We cannot predict the outcome of that proceeding or legal challenges to any new rules. It is also possible that Congress might enact legislation affecting the rules applicable to our Internet access services. The application of new legal requirements to our Internet services could adversely affect our business.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the FCC adopted new rules to expand the surviving transparency requirement by requiring Internet service providers to post standardized labels disclosing their network management policies and performance of our broadband Internet access services similar to the format of food nutrition labels for each of our currently available consumer Internet offerings. These new rules are scheduled to become applicable to our services in April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The 2017 FCC decision reclassifying Internet access services also ruled that state regulators may not impose obligations similar to federal network neutrality obligations that the FCC eliminated, but this blanket prohibition was vacated by the U.S. Court of Appeals in 2019. The court left open the possibility that individual state laws could be deemed preempted on a case by case basis if it is shown that they conflict with federal law. Several states have adopted rules similar to the network neutrality requirements that were eliminated by the FCC, and the California rules were upheld in federal court.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California has also adopted other regulations on Internet services, including network resiliency rules to assure backup power is available after natural disasters and other outages, and it has an open proceeding to consider the imposition of service quality metrics on Internet service providers. New York adopted legislation that would have required Internet service providers to offer a discounted Internet service to qualifying low-income consumers, but a federal district judge enjoined enforcement as likely to be deemed rate regulation of Internet service that would be preempted by federal law. That decision is currently being appealed. We cannot predict what other legislation and regulations may be adopted by states or how challenges to such requirements will be resolved.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2023, the FTC proposed rules that would limit the ability of companies that offer subscription services to make retention offers to consumers who are considering canceling their service. The rules would also apply to our video and voice services. We cannot predict the outcome of that proceeding or legal challenges to any new rules. The application of the proposed rules could adversely affect our business.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FCC adopted new rules governing digital discrimination, pursuant to The Infrastructure Investment and Jobs Act of 2021 (the “IIJA”), to prevent discrimination of access to broadband Internet services. These rules are scheduled to go into effect in 2024, but have been challenged in federal court and the outcome of such challenge cannot be predicted. The application of the proposed rules could adversely affect our business.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 federal, state and local governments have offered billions of dollars in subsidies to companies deploying broadband to areas deemed to be “unserved” or “underserved,” using funds from the FCC’s RDOF auction in 2020, The American Rescue Plan Act of 2021 (“ARPA”), and IIJA. We support such subsidies, provided they are not directed to areas that are already served, and have sought and expect to continue to seek subsidies for our own broadband construction in unserved and underserved areas through programs including RDOF and those created pursuant to ARPA and, if regulatory requirements are reasonable, the IIJA. We have been awarded over $2 billion in the RDOF auction and other federal, state and municipal grants that will partially fund, along with our substantial additional investment, the construction of new broadband infrastructure to more than one million estimated passings. Our awards through RDOF and ARPA include a number of regulatory requirements, such as serving as the carrier of last resort and completing increasingly larger portions of the network construction by certain dates. If we fail to meet these obligations, we could be subject to substantial government penalties.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the FCC has adopted rules for service providers to report broadband availability, pursuant to the Broadband Data Act. Providers are required to report their service areas twice a year. The service areas reported are subject to challenge. A broadband provider who provides inaccurate maps may be subject to enforcement action by the FCC. The FCC can also fine a provider for filing incorrect maps.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for our Internet services is affected by participation in and the general availability of programs that offer federal subsidies for certain low-income consumers for the purchase of Internet access service. In 2021, pursuant to Congressional appropriation for COVID relief, the FCC established a temporary monthly Emergency Broadband Benefit Program ("EBB") subsidy of up to $50 for most eligible low-income households. With the funding for EBB set to run out, Congress in the IIJA authorized $14.2 billion for the successor ACP that provides up to a $30 monthly discount for most eligible customers paid to the household’s broadband provider. We elected to participate in the EBB and ACP, and the FCC regulates many of the terms on which we provide ACP services, including restrictions on our ability to refuse service to prospective eligible customers based upon their credit or payment history. The FCC's Enforcement Bureau or Office of Inspector General can also audit our ACP customer base and could assess fines or recoup subsidies if our customer qualifications were inappropriate. The ACP discount enables eligible households to purchase our Spectrum Internet Assist and other promotional broadband service tiers at no cost to them. Existing ACP funding is expected to run out in April 2024, and we cannot predict whether Congress or the FCC will provide additional funding to extend the ACP, or on what terms.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Wireline Voice Service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FCC has never classified the VoIP wireline telephone services we offer as “telecommunications services” that are subject to traditional federal common carrier regulation, but instead has imposed some of these regulatory requirements on a case-by-case basis, such as requirements relating to 911 emergency services (“E911”), Communications Assistance for Law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Enforcement Act (“CALEA”) (the statute governing law enforcement access to and surveillance of communications), Universal Service Fund contributions, customer privacy and Customer Proprietary Network Information (“CPNI”) protections, number portability, network and/or 911 outage reporting, rural call completion, disability access, regulatory fees, back-up power, robocall mitigation and discontinuance of service. It is possible that the FCC or Congress will impose additional federal requirements on our VoIP telephone services in the future.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VoIP telephone services are subject to certain state and local regulatory fees such as E911 fees and contributions to state universal service funds. Additionally, in California and New York and to comply with RDOF program requirements, we have chosen in the RDOF areas to offer Lifeline VoIP telephone services subject to traditional federal and state common carrier regulations. Except where we have chosen to offer VoIP telephone services in such a manner, we believe that our VoIP telephone services should be governed primarily by federal regulation. A federal appellate court affirmed our successful challenge to Minnesota's attempt to generally apply telephone regulation to our VoIP services, but that ruling is limited to the seven states in the 8th Circuit. Some states have attempted to subject cable VoIP services, such as our VoIP telephone service, to state level regulation. California has imposed reporting and other obligations on our VoIP services, including backup power requirements, and has proposed the imposition of service quality metrics on VoIP services. California is also currently assessing requiring providers of VoIP services to comply with new registration and/or certification requirements in order to conduct business in the state. We have registered with or obtained certificates or authorizations from the FCC and the state regulatory authorities in those states in which we offer competitive voice services in order to ensure the continuity of our services. However, it is unclear whether and how these and other ongoing regulatory matters ultimately will be resolved. State regulatory commissions and legislatures may continue to consider imposing regulatory requirements on our fixed wireline voice telephone services.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 Service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Spectrum Mobile service offers mobile Internet access and telephone service. We provide this service as a mobile virtual network operator ("MVNO") using Verizon’s network and our network through Spectrum WiFi. As an MVNO, we are subject to many of the same FCC regulations that apply to facilities-based wireless carriers, as well as certain state or local regulations, including (but not limited to): E911, local number portability, customer privacy, CALEA, universal service fund contribution, robocall mitigation and hearing aid compatibility and safety and emission requirements for mobile devices. Spectrum Mobile’s broadband Internet access service is also subject to the FCC’s transparency rule and will be subject to the new labeling rules scheduled to become applicable to us in April 2024.</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FCC or other regulatory authorities may adopt new or different regulations for MVNOs and/or mobile service providers in the future, or impose new taxes or fees applicable to Spectrum Mobile, which could adversely affect the service offering or our business generally. For example, California has proposed the imposition of service quality metrics on mobile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Information Security Regulation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Communications Act limits our ability to collect, use, and disclose customers’ personally identifiable information for our Internet, video and voice services. We are subject to additional federal, state, and local laws and regulations that impose additional restrictions on the collection, use and disclosure of consumer information. All broadband providers are also obliged by CALEA to configure their networks in a manner that facilitates the ability of state and federal law enforcement, with proper legal process authorized under the Electronic Communications Privacy Act, to wiretap and obtain records and information concerning our customers, including the content of their communications. Further, the FCC, Federal Trade Commission (“FTC”), and many states regulate and restrict the marketing practices of communications service providers, including telemarketing and sending unsolicited commercial emails. The FTC currently has the authority, pursuant to its general authority to enforce against unfair or deceptive acts and practices, to protect the privacy of Internet service customers, including our use and disclosure of certain customer information.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also subject to federal and state laws governing information security. All states have data breach notification laws that would require us to inform individuals and regulators in the event of a breach that could impact personal information of our customers. In the event of an information security breach, such rules may require consumer and government agency notification and may result in regulatory enforcement actions with the potential of monetary forfeitures. The FCC, the FTC and state attorneys general regularly bring enforcement actions against companies related to information security breaches and privacy violations.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Various security standards provide guidance to telecommunications companies in order to help identify and mitigate cybersecurity risks. We describe those standards in Item 1C. Cybersercurity - Risk Management and Strategy. The FCC 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considering expansion of its cybersecurity guidelines or the adoption of cybersecurity requirements. The Department of Homeland Security’s Cybersecurity and Infrastructure Security Agency is also developing cyber incident reporting rules, pursuant to 2022 legislative requirements, that require critical infrastructure entities to report substantial cyber incidents within 72 hours of their discovery.</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states and local authorities have considered legislative or other actions that would impose restrictions on our ability to collect, use and disclose, and safeguard certain consumer information. Many states have enacted comprehensive consumer data privacy laws, and some states have enacted issue-specific privacy laws covering health information and children's information. For example, the California Consumer Privacy Act (“CCPA”) became effective on January 1, 2020. The CCPA, under certain circumstances, regulates companies’ use and disclosure of the personal information of California residents and authorizes enforcement actions by the California Attorney General and private class actions for data breaches. In addition, effective January 1, 2023, the California Consumer Privacy Rights Act (“CPRA”) amended CCPA to impose additional obligations on companies that handle the personal information of California residents and the California Privacy Protection Agency ("CPPA") issued specific regulations implementing provisions of the CCPA and CPRA effective in 2023 and 2024. The Maine Act to Protect Privacy of Online Customer Information, which regulates how Internet service providers use and disclose customers’ personal information and requires Internet service providers to take reasonable measures to protect customers’ personal information, became effective on July 1, 2020. Virginia, Colorado and Connecticut's new privacy laws became effective in 2023, and Utah's new privacy law became effective on December 31, 2023. New comprehensive data privacy laws are scheduled to become effective in Florida, Oregon and Texas on July 1, 2024, in Montana on October 1, 2024, in Iowa and Delaware on January 1, 2025, in New Jersey on January 6, 2025, in Tennessee on July 1, 2025, and in Indiana on January 1, 2026. Each of these laws will regulate the way that companies collect, use, and share personal information about consumers. Several other state legislatures are considering the adoption of new data security and cybersecurity legislation that could result in additional network and information security requirements for our business. The FTC has an ongoing Advance Notice of Proposed Rulemaking (“ANPR”) to explore rules related to the collection, analysis, and monetization of consumers' information, as well as companies' data security practices and related disclosures to consumers. Congress may also adopt new privacy and data security obligations. We cannot predict whether any of these efforts will be successful, challenged, upheld, vacated, or preempted, or how new legislation and regulations, if any, would affect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we had approximately 101,100 active full-time equivalent employees. The vast majority of our employees sell or service our products. We believe that attracting, developing and retaining our highly-skilled workforce is critical to successfully executing our operating strategy. With competitive wages, robust and affordable healthcare benefits, a generous retirement program with company match, and opportunities for job training and advancement, our employees develop skills and expertise necessary to build a long and successful career with us. In addition, the diversity of the communities we serve is reflected in our workforce, and our success in serving these communities requires a commitment to diversity and inclusion in every aspect of our business. We value the unique backgrounds, perspectives, and experiences of our employees. Embracing these differences brings us together for the common mission of exceeding our customers’ needs. There are several ways in which we attract, develop, and retain highly qualified talent, including: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and Benefits</w:t>
      </w:r>
    </w:p>
    <w:p>
      <w:pPr>
        <w:spacing w:after="0" w:line="256"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We provide compensation packages that are market competitive, taking into account the location and responsibilities of the role.</w:t>
      </w:r>
    </w:p>
    <w:p>
      <w:pPr>
        <w:spacing w:after="0" w:line="28"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All hourly employees have a starting minimum wage of at least $20 per hour, which is well above any state or federal minimum wage level.</w:t>
      </w:r>
    </w:p>
    <w:p>
      <w:pPr>
        <w:spacing w:after="0" w:line="8" w:lineRule="exact"/>
        <w:rPr>
          <w:rFonts w:ascii="Arial" w:cs="Arial" w:eastAsia="Arial" w:hAnsi="Arial"/>
          <w:sz w:val="18"/>
          <w:szCs w:val="18"/>
          <w:color w:val="auto"/>
        </w:rPr>
      </w:pPr>
    </w:p>
    <w:p>
      <w:pPr>
        <w:ind w:left="340" w:right="20" w:hanging="332"/>
        <w:spacing w:after="0" w:line="249"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85% of our employees are eligible for additional variable compensation based on their performance, including annual bonus eligibility for all frontline supervisors and other salaried employees not already on a sales commission or bonus plan.</w:t>
      </w: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enhanced career progression opportunities.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We provide high-quality, comprehensive medical, dental, and vision coverage for all full-time and part-time employees. It is our priority to keep this coverage affordable for our employees and their families, and so for the last eleven years, we have absorbed the full premium cost increase for medical, dental, and vision coverage.</w:t>
      </w:r>
    </w:p>
    <w:p>
      <w:pPr>
        <w:jc w:val="both"/>
        <w:ind w:left="340" w:hanging="332"/>
        <w:spacing w:after="0" w:line="250" w:lineRule="auto"/>
        <w:tabs>
          <w:tab w:leader="none" w:pos="33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We provide competitive financial benefits to all employees such as a 401(k) Plan with a dollar for dollar company match up to 6% of their eligible pay. In addition, most of our employees are also eligible to receive an additional non-elective contribution to a Retirement Accumulation Plan equal to 3% of their eligible pay.</w:t>
      </w:r>
    </w:p>
    <w:p>
      <w:pPr>
        <w:ind w:left="320" w:hanging="312"/>
        <w:spacing w:after="0"/>
        <w:tabs>
          <w:tab w:leader="none" w:pos="32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We have a stock incentive plan and grant equity awards to eligible employees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256" w:lineRule="exact"/>
        <w:rPr>
          <w:sz w:val="20"/>
          <w:szCs w:val="20"/>
          <w:color w:val="auto"/>
        </w:rPr>
      </w:pPr>
    </w:p>
    <w:p>
      <w:pPr>
        <w:jc w:val="both"/>
        <w:ind w:left="340" w:hanging="332"/>
        <w:spacing w:after="0" w:line="257" w:lineRule="auto"/>
        <w:tabs>
          <w:tab w:leader="none" w:pos="33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substantial skills, experience and industry knowledge of our employees and our training of our customer-facing employees benefit our operations and performance. We offer thousands of learning experiences spanning leadership development, new hire, and professional skills training both online and in the classroom.</w:t>
      </w:r>
    </w:p>
    <w:p>
      <w:pPr>
        <w:ind w:left="340" w:right="2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introduced a new tuition-free degree and certificate program, removing the financial barrier for employees to continue their education through convenient online learning.</w:t>
      </w: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provide traditional tuition reimbursement of up to $10,000 per year for employees who want to pursue other outside programs.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vast majority of our customer-facing roles have the opportunity for upward advancement including through supervisory and leadership roles. Our Field Operations organization has a formalized self-progression structure where employees who maintain exceptional levels of performance can complete online coursework to advance to next level within their job family.</w:t>
      </w:r>
    </w:p>
    <w:p>
      <w:pPr>
        <w:jc w:val="both"/>
        <w:ind w:left="340" w:hanging="332"/>
        <w:spacing w:after="0" w:line="250" w:lineRule="auto"/>
        <w:tabs>
          <w:tab w:leader="none" w:pos="33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Our Broadband Technician Apprenticeship Program is one of our promising strategies for building our skilled workforce. This program, certified by the U.S. Department of Labor, is aligned with our broadband technician career progression and includes thousands of hours of on-the-job training along with classroom instruction. When enrolled employees complete the program, they become certified broadband technicians.</w:t>
      </w:r>
    </w:p>
    <w:p>
      <w:pPr>
        <w:jc w:val="both"/>
        <w:ind w:left="340" w:hanging="332"/>
        <w:spacing w:after="0" w:line="255" w:lineRule="auto"/>
        <w:tabs>
          <w:tab w:leader="none" w:pos="33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We conduct annual talent planning to review the overall performance of our leaders and their potential to serve in larger, more complex roles. Executive leadership reviews the results of talent conversations, which open possibilities for career growth opportunities and cross-organizational movement.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256" w:lineRule="exact"/>
        <w:rPr>
          <w:sz w:val="20"/>
          <w:szCs w:val="20"/>
          <w:color w:val="auto"/>
        </w:rPr>
      </w:pPr>
    </w:p>
    <w:p>
      <w:pPr>
        <w:jc w:val="both"/>
        <w:ind w:left="340" w:hanging="332"/>
        <w:spacing w:after="0" w:line="257"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commitment to diversity and inclusion is based on our aspiration to reflect the markets and communities we serve, deliver high quality products and services that exceed our customers’ expectations as well as foster an inclusive environment where all employees can thrive and have a long-term career with the company.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five Business Resource Groups (“BRGs”) focused on people with disabilities, the LGBTQ community, employees with multicultural backgrounds, veterans and women. These voluntary groups connect employees with shared characteristics, life experiences, and interests, and enable them to engage in activities that advance our culture of inclusion and contribute to business success. Our BRGs have empowered our team members to grow and succeed by providing networking, mentorship and skill-building opportunities.</w:t>
      </w:r>
    </w:p>
    <w:p>
      <w:pPr>
        <w:spacing w:after="0" w:line="1" w:lineRule="exact"/>
        <w:rPr>
          <w:rFonts w:ascii="Times New Roman" w:cs="Times New Roman" w:eastAsia="Times New Roman" w:hAnsi="Times New Roman"/>
          <w:sz w:val="18"/>
          <w:szCs w:val="18"/>
          <w:color w:val="auto"/>
        </w:rPr>
      </w:pPr>
    </w:p>
    <w:p>
      <w:pPr>
        <w:ind w:left="340" w:hanging="332"/>
        <w:spacing w:after="0" w:line="249" w:lineRule="auto"/>
        <w:tabs>
          <w:tab w:leader="none" w:pos="33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Several initiatives promote inclusion and belonging in our workplace including the BRGs, educational opportunities that build the skills and competency of leaders to foster diverse and inclusive teams as well as additional communications tools and resources.</w:t>
      </w:r>
    </w:p>
    <w:p>
      <w:pPr>
        <w:spacing w:after="0" w:line="1" w:lineRule="exact"/>
        <w:rPr>
          <w:rFonts w:ascii="Arial" w:cs="Arial" w:eastAsia="Arial" w:hAnsi="Arial"/>
          <w:sz w:val="18"/>
          <w:szCs w:val="18"/>
          <w:color w:val="auto"/>
        </w:rPr>
      </w:pPr>
    </w:p>
    <w:p>
      <w:pPr>
        <w:ind w:left="340" w:right="20" w:hanging="332"/>
        <w:spacing w:after="0" w:line="259" w:lineRule="auto"/>
        <w:tabs>
          <w:tab w:leader="none" w:pos="33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Our efforts are guided by an External Diversity &amp; Inclusion Council and an internal Executive Steering Committee. Diversity and Inclusion is addressed with the Board of Directors annually.</w:t>
      </w:r>
    </w:p>
    <w:p>
      <w:pPr>
        <w:spacing w:after="0" w:line="20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business environment, which affects our ability to attract and retain customers and can adversely affect our business, operations and financial results.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industry in which we operate is highly competitive and has become more so in recent years. In some instances, we compete against companies with fewer regulatory burdens, access to better financing and greater and more favorable brand name recognition. Increasing consolidation in the telecommunications and content industries have provided additional benefits to certain of our competitors, either through access to financing, resources, or efficiencies of scale including the ability to launch new products and services.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Internet service faces competition from other companies’ FTTH, fixed wireless broadband, Internet delivered via satellite and DSL services. Various operators offer wireless Internet services delivered over networks which they continue to enhance to deliver faster speeds and also continue to expand 5G mobile services. Our voice and mobile services compete with wireless and wireline phone providers, as well as other forms of communication, such as text, instant messaging, social networking services, video conferencing and email. Competition from these companies, including intensive marketing efforts with aggressive pricing, may have an adverse impact on our ability to attract and retain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Our video service faces competition from a number of sources, including DBS services, and companies that deliver linear network programming, movies and television shows on demand and other video content over broadband Internet connections to televisions, computers, tablets and mobile devices often with password sharing among multiple users and security that makes content susceptible to piracy. Newer products and services, particularly alternative methods for the distribution, sale and viewing of content may continue to be developed, further increasing the number of competitors that we face.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increasing number of choices available to audiences, including low-cost or free choices, could negatively impact not only consumer demand for our products and services, but also advertisers’ willingness to purchase advertising from us. We compete for the sale of advertising revenue with television networks and stations, as well as other advertising platforms, such as online media, radio and print. Competition related to our service offerings to businesses continues to increase as well, as more companies deploy more fiber to more buildings, which may negatively impact our growth and put pressure on margins.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failure to effectively anticipate or adapt to new technologies (including those that use artificial intelligence ("AI")) and changes in customer expectations and behavior could significantly adversely affect our competitive position with respect to the leisure time and discretionary spending of our customers and, as a result, affect our business and results of operations. Competition may also reduce our expected growth of future cash flows which may contribute to future impairments of our franchises and goodwill and our ability to meet cash flow requirements, including debt service requirements. For additional information regarding the competition we face, see “Item 1. Business -Competition” and “-Regulation and Legislation.”</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service providers, suppliers and licensors; thus, if we are unable to procure the necessary services, equipment, software or licenses on reasonable terms and on a timely basis, our ability to offer services could be impaired, and our growth, operations, business, financial results and financial condition could be materially adversely affected.</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on a limited number of third-party service providers, suppliers and licensors to supply some of the services, hardware, software and operational support necessary to provide some of our services and execute our network evolution and rural construction initiatives. Some of our hardware, software and operational support vendors and service providers represent our sole source of supply or have, either through contract or as a result of intellectual property rights, a position of some exclusivity. Our ability to provide some services and complete our network evolution and rural construction initiatives might be materially adversely affected, or the need to procure or develop alternative sources of the affected materials or services might interrupt or delay our ability to serve existing and new customers, if any of these parties experience or engage in the following:</w:t>
      </w:r>
    </w:p>
    <w:p>
      <w:pPr>
        <w:spacing w:after="0" w:line="21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terminate or elect not to renew their agreements with us or otherwise fail to perform their obligations in a timely manner;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exceeds these vendors’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are imposed that impact vendors’ ability to perform their obligations or significantly increase the amount we pay;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operating or financial difficulties;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the amount we are required to pay (including demands for substantial non-monetary compensation) for necessary products or services; or</w:t>
      </w: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production of any necessary product due to lack of demand, profitability or a change in ownership or are otherwise unable to provide the equipment or services we need in a timely manner at our specifications and at reasonable prices.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existence of only a limited number of vendors of key technologies can lead to less product innovation and higher costs. Any of these events could materially and adversely affect our ability to retain and attract customers and our operations, business, financial results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pass on to our customers all of the increases in programming costs, which could adversely affect our cash flow and operating margins.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Programming costs are one of our largest expense items. Our programming costs have historically increased in excess of customary inflationary and cost-of-living type increases. While decreases in video customers combined with a change in the mix of customers choosing lower cost packages have offset total programming cost increases, we expect contractual programming rates per service subscriber to continue to increase as a result of annual increases pursuant to our programming contracts and contract renewals with programmers. Although we pass along amounts paid for local broadcast station retransmission consent to the majority of our customers, the inability to fully pass programming cost increases on to our customers has had, and is expected in the future to have, an adverse impact on our cash flow and operating margins associated with the video product. Additionally, the demands of large media companies, with additional selling power as a result of media</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and broadcast station group consolidation, who link carriage of their most popular networks to carriage and cost increases of their less popular networks, and require us to carry their most popular networks to a large percentage of our video subscribers, have limited our flexibility in selling more tailored and cost-sensitive programming packages for consumers. In order to mitigate impacts to our operating margins due to increasing programming rates, we continue to review our pricing and programming packaging strategies. Further, some programmers have begun to simulcast and/or move popular programming to DTC apps which, in some cases, are no longer accessible by our customers through their current video subscription, despite increasing rates, driving customer dissatisfaction and in turn, customer losses. We are seeking to obtain access to these DTC apps, where applicable, as we renew agreements, so that we may include in our customers' video subscriptions.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Increases in the cost of sports programming and the amounts paid for local broadcast station retransmission-consent have been the largest contributors to the growth in our programming costs over the last few years. Federal law allows commercial television broadcast stations to make an election between “must-carry” rights and an alternative “retransmission-consent” regime. When a station opts for the retransmission-consent regime, we are not allowed to carry the station’s signal without that station’s permission. In retransmission-consent negotiations, broadcasters often condition consent with respect to one station on carriage of one or more other stations or programming services in which they or their affiliates have an interest. Carriage of these other services, as well as increased fees for retransmission rights, may increase our programming expenses which could have an adverse effect on our business and financial results.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programming contracts are generally for a fixed period of time, with potentially significant spend subject to negotiated renewal in any particular year. We will seek to renew these agreements on terms that we believe are favorable. There can be no assurance that these agreements will be renewed on favorable or comparable terms. To the extent that we are unable to reach agreement with certain programmers on terms that we believe are reasonable, we have been, and may in the future be, forced to remove such programming channels from our line-up, which may result in a loss of customers. Any failure to carry programming that is attractive to our customers could adversely impact our customer levels, operations and financial results.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respond to technological developments and meet customer demand for new products and services could adversely affect our ability to compete effectively.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consumer-driven and rapidly changing environment. From time to time, we may pursue strategic initiatives to launch products or enhancements to our products. Our success is, to a large extent, dependent on our ability to acquire, develop, adopt, upgrade and exploit new and existing technologies to address consumers’ changing demands and distinguish our services from those of our competitors. We may not be able to accurately predict technological trends or the success of new products and services. If we choose technologies or equipment that are less effective, cost-efficient or attractive to customers than those chosen by our competitors, if technologies or equipment on which we have chosen to rely cease to be available to us on reasonable terms or conditions, if we offer services that fail to appeal to consumers, are not available at competitive prices or that do not function as expected, if we are not able to fund the expenditures necessary to keep pace with technological developments, or if we are no longer able to make our services available to our customers on a third-party device on which a substantial number of customers have relied to access our services, our competitive position could deteriorate, and our business and financial results could suffer.</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of some of our competitors to introduce new technologies, products and services more quickly than we do may adversely affect our competitive position. Furthermore, advances in technology, decreases in the cost of existing technologies or changes in competitors’ product and service offerings may require us in the future to make additional research and development expenditures or to offer, at no additional charge or at a lower price, certain products and services that we currently offer to customers separately or at a premium. In addition, the uncertainty of our ability, and the costs, to obtain intellectual property rights from third parties could impact our ability to respond to technological advances in a timely and effective manner.</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failure to maintain and expand our upgraded systems and provide advanced services in a timely manner, or to anticipate the demands of the marketplace, could materially adversely affect our ability to attract and retain customers. In addition, as we continue to grow our mobile services using virtual network operator rights from a third party, we expect continued growth-related sales and marketing and other customer acquisition costs as well as negative working capital impacts from the timing of device-related cash flows when we provide devices pursuant to equipment installation plans. We also continue to consider and pursue opportunities in the mobile space which may include the acquisition of additional licensed spectrum and may include entering into or expanding joint ventures or partnerships with wireless or cable providers which may require significant investment. For example, we now hold CBRS PALs to support existing and future mobile services. These licenses are subject to revocation and expiration. Although we expect to be able to maintain and renew these licenses, the loss of one or more licenses could significantly impair our ability to offload mobile traffic and achieve cost reductions. If we are unable to continue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to grow our mobile business and achieve the outcomes we expect from our investments in the mobile business, our growth, financial condition and results of operations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if we cannot continue to license or enforce the intellectual property rights on which our business depends.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patent, copyright, trademark and trade secret laws and licenses and other agreements with our employees, customers, suppliers and other parties to establish and maintain our intellectual property rights in technology and the products and services used in our operations. Also, because of the rapid pace of technological change, we both develop our own technologies, products and services and rely on technologies developed or licensed by third parties. However, any of our intellectual property rights, or the rights of our suppliers, could be challenged or invalidated, or such intellectual property rights may not be sufficient to permit us to take advantage of current industry trends or otherwise to provide competitive advantages, which could result in costly redesign efforts, discontinuance of certain product or service offerings or other competitive harm. We may not be able to obtain or continue to obtain licenses from these third parties on reasonable terms, if at all. In addition, claims of intellectual property infringement could require us to enter into royalty or licensing agreements on unfavorable terms, incur substantial monetary liability or be enjoined preliminarily or permanently from further use of the intellectual property in question, which could require us to change our business practices or offerings and limit our ability to compete effectively. Even unsuccessful claims can be time-consuming and costly to defend and may divert management’s attention and resources away from our business. Infringement claims continue to be brought frequently in the communications and entertainment industries, and we are also often a party to such litigation alleging that certain of our services or technologies infringe the intellectual property rights of others.</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Various events could disrupt or result in unauthorized access to our networks, information systems or properties and could impair our operating activities and negatively impact our reputation and financial results.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Network and information systems technologies are critical to our operating activities, both for our internal uses, such as network management, and supplying services to our customers, including customer service operations and programming delivery. Network or information system shutdowns or other service disruptions caused by events such as computer hacking, phishing, dissemination of computer viruses, worms and other destructive or disruptive software, “cyber attacks” such as ransomware, process breakdowns, denial of service attacks and other malicious activity pose increasing risks. Both unsuccessful and successful “cyber attacks” on companies have continued to increase in frequency, scope and potential harm in recent years, and the increasing use of AI may intensify these cybersecurity risks. While we develop and maintain systems seeking to prevent systems-related events and security breaches from occurring, the development and maintenance of these systems is costly and requires ongoing monitoring and updating as techniques used in such attacks become more sophisticated and change frequently. We, and the third parties on which we rely, may be unable to anticipate these techniques or implement adequate preventive measures. While from time to time attempts have been made to access our network, these events have not as yet resulted in any material release of information, degradation or disruption to our network and information systems.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network and information systems are also vulnerable to damage or interruption from power outages, telecommunications failures, accidents, natural disasters (including extreme weather arising from short-term or any long-term changes in weather patterns), terrorist attacks and similar events. Our system redundancy may be ineffective or inadequate, and our disaster recovery planning may not be sufficient for all eventualities.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of these events, if directed at, or experienced by, us or technologies upon which we depend, could have adverse consequences on our network, our customers and our business, including degradation of service, service disruption, excessive call volume to call centers, and damage to our or our customers’ equipment and data. Large expenditures may be necessary to repair or replace damaged property, networks or information systems or to protect them from similar events in the future. Moreover, the amount and scope of insurance that we maintain against losses resulting from any such events or security breaches may not be sufficient to cover our losses or otherwise adequately compensate us for any disruptions to our business that may result. Any such significant service disruption could result in damage to our reputation and credibility, customer dissatisfaction and ultimately a loss of customers or revenue. Any significant loss of customers or revenue, or significant increase in costs of serving those customers, could adversely affect our growth, financial condition and results of operations.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our operating activities could be subject to risks caused by misappropriation, misuse, leakage, falsification or accidental release or loss of information maintained in our information technology systems and networks and those of our third-party vendors, including customer, personnel and vendor data. We provide certain confidential, proprietary and personal information to third parties in connection with our business, and there is a risk that this information may be compromised.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8"/>
          <w:szCs w:val="18"/>
          <w:color w:val="auto"/>
        </w:rPr>
        <w:t>We process, store, and transmit large amounts of data, including the personal information of our customers. Ongoing increases in the potential for misuse of personal information, the public’s awareness of the importance of safeguarding personal information, and the volume of legislation that has been adopted or is being considered regarding the protection, privacy and security of personal information have resulted in increases to our information-related risks. We could be exposed to significant costs if such risks were to materialize, and such events could damage our reputation, credibility and business and have a negative impact on our revenue. We could be subject to regulatory actions and claims made by consumers in private litigations involving privacy issues related to consumer data collection and use practices. We also could be required to expend significant capital and other resources to remedy any such security breach.</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related to the development and use of AI could give rise to legal or regulatory action, damage our reputation or otherwise materially harm our business.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incorporate AI technology in certain parts of our business operations. Our research and development of such technology remains ongoing. AI presents risks, challenges and unintended consequences that could affect our and our customers’ adoption and use of this technology. AI algorithms and training methodologies may be flawed. Additionally, AI technologies are complex and rapidly evolving. While we aim to develop and use AI responsibly and attempt to identify and mitigate ethical and legal issues presented by its use, we may be unsuccessful in identifying or resolving issues before they arise. AI-related issues, deficiencies or failures could give rise to legal or regulatory action, including with respect to proposed legislation regulating AI or as a result of new applications of existing data protection, privacy, intellectual property and other laws, and could damage our reputation or otherwise materially harm our business.</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exposure to the economic conditions of our current and potential customers, vendors and third parties could adversely affect our cash flow, results of operations and financial condition.</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risks associated with the economic conditions of our current and potential customers, the potential financial instability of our customers and their financial ability to purchase our products. If there were a prolonged general economic downturn, we may experience increased cancellations or non-payment by our customers or unfavorable changes in the mix of products purchased. This may include an increase in the number of homes that replace their video service with Internet-delivered or over-air content, as well as an increase in the number of Internet and voice customers substituting mobile data and voice products for wireline services, which would negatively impact our ability to attract customers, increase rates and maintain or increase revenue. In addition, our ability to gain new customers is dependent to some extent on growth in occupied housing in our service areas, which is influenced by both national and local economic conditions. Weak economic conditions may also have a negative impact on our advertising revenue. These events have adversely affected us in the past, and may adversely affect our cash flow, results of operations and financial condition if a downturn were to continue.</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are susceptible to risks associated with the potential financial instability of the vendors and third parties on which we rely to provide products and services or to which we outsource certain functions. The same economic conditions that may affect our customers, as well as volatility and disruption in the capital and credit markets, also could adversely affect vendors and third parties and lead to significant increases in prices, reduction in output or the bankruptcy of our vendors or third parties upon which we rely. Further, inflationary pressures may impact the ability of vendors and other third parties to satisfy their obligations to us. Any interruption in the services provided by our vendors or by third parties could adversely affect our cash flow, results of operation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key employees, our ability to manage our business could be adversely affected.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operational results have depended, and our future results will depend, upon the retention and continued performance of our management team. Our ability to hire and retain key employees for management positions could be impacted adversely by the competitive environment for management talent in the broadband communications and technology industries. The loss of the services of key members of management and the inability or delay in hiring new key employees could adversely affect our ability to manage our business and our future operational and financial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and expect to incur significant additional debt, including secured debt, in the future, which could adversely affect our financial condition and our ability to react to changes in our business.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significant amount of debt and expect to (subject to applicable restrictions in our debt instruments) incur additional debt in the future as Charter maintains its stated objective of 4.0 to 4.5 times Adjusted EBITDA leverage (net debt divided by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the last twelve months Adjusted EBITDA). As of December 31, 2023, our total principal amount of debt was approximately $97.6 billion and Charter's leverage ratio was 4.42 times Adjusted EBITDA. As of December 31, 2023, $70.3 billion of our debt was rated investment grade and $27.3 billion was rated high yield debt. This split rating allows us to access both the investment grade debt market and the high yield debt market.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amount of debt could have adverse consequences, such as:</w:t>
      </w:r>
    </w:p>
    <w:p>
      <w:pPr>
        <w:spacing w:after="0" w:line="25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ability to raise additional capital at reasonable rates, or at all;</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vulnerable to interest rate increases, in part because approximately 14% of our borrowings as of December 31, 2023 were, and may continue to be, subject to variable rates of interest;</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increased interest expense to the extent we refinance existing debt with higher cost debt;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significant portion of our cash flow from operating activities to make payments on our debt, reducing our funds available for capital expenditures and other general corporate purposes;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the cable and telecommunications industries, and the economy at large;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that have proportionately less debt;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relationship with customers and suppliers.</w:t>
      </w:r>
    </w:p>
    <w:p>
      <w:pPr>
        <w:spacing w:after="0" w:line="2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the extent our current debt amounts increase more than expected, our operating results are lower than expected, or credit rating agencies downgrade our debt thereby increasing our costs of borrowing and potentially limiting our access to investment grade markets, the related risks that we now face will intensify.</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and instruments governing our debt contain restrictions and limitations that could significantly affect our ability to operate our business, as well as significantly affect our liquidity.</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governing the CCO Holdings, LLC (“CCO Holdings”) notes contain a number of significant covenants that could adversely affect our operations, liquidity and results of operations. These covenants restrict, among other things, CCO Holdings, CCO Holdings Capital Corp. and all of their restricted subsidiaries’ ability to:</w:t>
      </w:r>
    </w:p>
    <w:p>
      <w:pPr>
        <w:spacing w:after="0" w:line="20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equity or repurchase equity;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their assets or merge with or into other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restricted subsidiaries, create or permit to exist dividend or payment restrictions with respect to CCO Holdings, guarantee their parent companies' debt, or issue specified equity interests;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(with respect to only CCO Holdings).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Charter Communications Operating, LLC ("Charter Operating") credit facilities require Charter Operating to comply with a maximum total leverage covenant and a maximum first lien leverage covenant. The Charter Operating credit facilities, the Charter Operating notes, the Time Warner Cable, LLC ("TWC, LLC") senior notes and debentures, and the Time Warner Cable Enterprises, LLC ("TWCE") debentures include customary negative covenants, including restrictions on the ability to incur liens securing indebtedness for borrowed money and consolidating, merging or conveying or transferring substantially all of the respective obligor’s assets. The breach of any covenants or obligations in our indentures or credit facilities, not otherwise waived or amended, could result in a default under the applicable debt obligations and could trigger acceleration of those obligations, which in turn could trigger cross defaults under other agreements governing our long-term indebtedness. In addition, the secured lenders under our secured notes and the Charter Operating credit facilities could foreclose on their collateral, which includes equity interests in substantially all of our subsidiaries, and exercise other rights of secured creditors.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Position of Liberty Broadband Corporation and Advance/Newhouse Partnership</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Liberty Broadband Corporation (“Liberty Broadband”) and Advance/Newhouse Partnership (“A/N”) have governance rights that give them influence over corporate transactions and other matters.</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Liberty Broadband currently owns a significant amount of Charter Class A common stock and is entitled to certain governance rights with respect to Charter. A/N currently owns Charter Class A common stock and a significant amount of membership</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interests in our subsidiary, Charter Holdings, which are convertible into Charter Class A common stock, and is entitled to certain governance rights with respect to Charter. Members of Charter's Board of Directors include a director who is also an officer and director of Liberty Broadband and directors who are current or former officers and directors of A/N. Mr. Greg Maffei is the President and Chief Executive Officer of Liberty Broadband. Steven Miron is the Chief Executive Officer of A/N and Michael Newhouse is co-president of the parent of A/N and its affiliates. As of December 31, 2023, Liberty Broadband beneficially held approximately 28.50% of Charter’s voting stock and A/N beneficially held approximately 12.46% of Charter’s voting stock. Pursuant to the Amended and Restated Stockholders Agreement among Charter, Liberty Broadband and A/N, dated as of May 23, 2015 (as amended, the “Stockholders Agreement”), Liberty Broadband currently has the right to designate up to three directors as nominees for Charter’s Board of Directors and A/N currently has the right to designate up to two directors as nominees for Charter’s Board of Directors. Each of A/N and Liberty Broadband is entitled to nominate at least one director to each of the committees of Charter's Board of Directors, subject to applicable stock exchange listing rules and certain specified voting or equity ownership thresholds for each of A/N and Liberty Broadband, and provided that the Nominating and Corporate Governance Committee and the Compensation and Benefits Committee each have at least a majority of directors independent from A/N, Liberty Broadband and Charter (referred to as the “unaffiliated directors” in the Stockholders Agreement).</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Stockholders Agreement and Charter’s amended and restated certificate of incorporation fixes the size of the board at 13 directors. Liberty Broadband and A/N are required to vote (subject to the applicable voting cap) their respective shares of Charter Class A common stock and Charter Class B common stock for the director nominees nominated by the Nominating and Corporate Governance Committee, including the respective designees of Liberty Broadband and A/N, and against any other nominees, except that, with respect to the unaffiliated directors, Liberty Broadband and A/N must instead vote in the same proportion as the voting securities are voted by stockholders other than A/N and Liberty Broadband or any group which includes any of them are voted, if doing so would cause a different outcome with respect to the unaffiliated directors. As a result of their rights under the Stockholders Agreement and their significant equity and voting stakes in Charter, Liberty Broadband and/or A/N, who may have interests different from those of other stockholders, will be able to exercise substantial influence over certain matters relating to the governance of Charter, including the approval of significant corporate actions, such as mergers and other business combination transactions.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Stockholders Agreement provides A/N and Liberty Broadband with preemptive rights with respect to issuances of Charter equity in connection with certain transactions, and in the event that A/N or Liberty Broadband exercises these rights, holders of Charter Class A common stock may experience further dilution.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Stockholders Agreement provides that A/N and Liberty Broadband will have certain contractual preemptive rights over issuances of Charter equity securities in connection with capital raising transactions. Holders of Charter Class A common stock will not be entitled to similar preemptive rights with respect to such transactions. As a result, if Liberty Broadband and/or A/N elect to exercise their preemptive rights, (i) these parties would not experience the dilution experienced by the other holders of Charter Class A common stock, and (ii) such other holders of Charter Class A common stock may experience further dilution of their interest in Charter upon such exercise.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Legislative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governmental legislation and regulation, which could adversely affect our business.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services we offer are subject to numerous laws and regulations that can increase operational and administrative expenses and reduce revenues, including those covering the following:</w:t>
      </w:r>
    </w:p>
    <w:p>
      <w:pPr>
        <w:spacing w:after="0" w:line="189" w:lineRule="exact"/>
        <w:rPr>
          <w:sz w:val="20"/>
          <w:szCs w:val="20"/>
          <w:color w:val="auto"/>
        </w:rPr>
      </w:pPr>
    </w:p>
    <w:p>
      <w:pPr>
        <w:ind w:left="660" w:right="88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high-speed Internet service, including network management, broadband label, broadband availability reporting, digital discrimination and transparency rules;</w:t>
      </w:r>
    </w:p>
    <w:p>
      <w:pPr>
        <w:jc w:val="both"/>
        <w:ind w:left="660" w:right="24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fixed and mobile voice communications, including rules for emergency communications, network and/or 911 outage reporting, CPNI safeguards and reporting, local number portability, efforts to limit unwanted robocalls, and, for mobile devices, hearing aid compatibility, safety and emission requirements;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that must be included in our advertised prices and bills, and the means by which our customers can cancel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by law enforcement;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franchise renewals and transfers;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provisioning, marketing and billing of cable and Internet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employee privacy and data security;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 royalties for retransmitting broadcast signals;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when a cable system must carry a broadcast station and the circumstances when it first must obtain retransmission consent to carry a broadcast station;</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enter into exclusive agreements with multiple dwelling unit complexes and control our inside wiring;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employment opportunity;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resiliency of our networks to maintain service during and after disasters and power outages;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emergency alert systems, disability access, pole attachments, commercial leased access and technical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practices, customer service, and consumer protection;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mergers and acquisitions often accompanied by the imposition of restrictions and requirements on an applicant’s business in order to secure approval of the proposed transaction.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Legislators and regulators at all levels of government frequently consider changing, and sometimes do change, existing statutes, rules, regulations, or interpretations thereof, or prescribe new ones. Any future legislative, judicial, regulatory or administrative actions may increase our costs or impose additional restrictions on our businesses.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existing legal and regulatory framework under which we operate or the regulatory programs in which we or our competitors participate, including the possible elimination of the federal broadband ACP subsidy for low-income consumers, could adversely affect our business.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ongoing efforts to amend or expand the federal, state and local regulation of some of the services offered over our cable systems, particularly our retail broadband Internet access service. Potential legislative and regulatory changes could adversely impact our business by increasing our costs and competition and limiting our ability to offer services in a manner that would maximize our revenue potential. These changes have in the past, and could in the future, include, for example, the reclassification of Internet services as regulated telecommunications services or other utility-style regulation of Internet services; restrictions on how we manage our Internet access services and networks; the adoption of new customer service or service quality requirements for our Internet access services; the adoption of new privacy restrictions on our collection, use and disclosure of certain customer information; new data security and cybersecurity mandates that could result in additional network and information security and cyber incident reporting requirements for our business; new restraints on our discretion over programming decisions; new restrictions on the rates we charge to consumers for one or more of the services or equipment options we offer; changes to the cable industry’s compulsory copyright to retransmit broadcast signals; new requirements to assure the availability of navigation devices from third-party providers; new Universal Service Fund contribution obligations on our Internet service revenues that would add to the cost of that service; increases in government-administered broadband subsidies to rural areas that could result in subsidized overbuilding of our facilities; changes to the FCC’s administration of spectrum; pending court challenges to the legality of the FCC’s Universal Service programs, which, if successful, could adversely affect our receipt of universal service funds, including but not limited to FCC RDOF grants to expand our network, FCC E-rate funds to serve schools and libraries and FCC Rural Health Care funds to serve eligible health care providers; and changes in the regulatory framework for VoIP telephone service, including the scope of regulatory obligations associated with our VoIP telephone service and our ability to interconnect our VoIP telephone service with incumbent providers of traditional telecommunications service.</w:t>
      </w:r>
    </w:p>
    <w:p>
      <w:pPr>
        <w:spacing w:after="0" w:line="2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participate in the federal ACP that provides up to a $30 monthly subsidy enabling eligible low-income households to purchase our Internet products at a discount or, for a portion of those households, at no cost. The FCC has announced that ACP funding is expected to run out in April 2024 and has prohibited service providers from enrolling new ACP customers after February 7, 2024. If Congress does not provide additional funding, this will be disruptive to our business. We will lose customers and revenues and could face greater difficulty in providing services to low-income households in the future.</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winning bidder in the FCC’s RDOF auction in 2020, we must comply with numerous FCC and state requirements to continue receiving such funding. To comply with these requirements, in RDOF areas, we have chosen to offer certain of our VoIP telephone services, such as our Lifeline services, subject to certain traditional federal and state common carrier regulations. Additionally, in some areas where we are building pursuant to subsidy programs, we will offer certain of our broadband Internet access services subject to required discounts and other marketing-related terms. If we fail to comply with those requirements, the governing regulatory agency could consider us in default and we could incur substantial penalties or forfeitures. If we fail to attain certain specified infrastructure build-out requirements under the RDOF program, the FCC could also withhold future support payments until those shortcomings are corrected. Any failure to comply with the rules and requirements of a subsidy grant could result in us being suspended or disbarred from future governmental programs or contracts for a significant period of time, which could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If any laws or regulations are enacted that would expand the regulation of our services, they could affect our operations and require significant expenditures. We cannot predict future developments in these areas, and any changes to the regulatory framework for our Internet, video, mobile or VoIP services could have a negative impact on our business and results of operations.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remains uncertain what rule changes, if any, will ultimately be adopted by Congress, the FCC, the FTC and state legislatures, and what operating or financial impact any such rules might have on us, including on the operation of our broadband networks, customer privacy and the user experience. In addition, the FCC, the FTC, and various state agencies and attorney generals actively investigate industry practices and could impose substantial forfeitures for alleged regulatory violations.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legislation and administrative initiatives or challenges to our tax and fee positions could adversely affect our results of operations and financial condition.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services and operate cable systems in locations throughout the United States and, as a result, we are subject to the tax laws and regulations of federal, state and local governments. From time to time, legislative and administrative bodies change laws and regulations that change our effective tax rate or tax payments. Certain states and localities have imposed or are considering imposing new or additional taxes or fees on our services or changing the methodologies or base on which certain fees and taxes are computed. Potential changes include additional taxes or fees on our services which could impact our customers, changes to income tax sourcing rules and other changes to general business taxes, central/unit-level assessment of property taxes and other matters that could increase our income, franchise, sales, use and/or property tax liabilities. In addition, federal, state and local tax laws and regulations are extremely complex and subject to varying interpretations. There can be no assurance that our tax positions will not be challenged by relevant tax authorities or that we would be successful in any such challenge.</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cable system franchises are subject to non-renewal or termination and are non-exclusive. The failure to renew a franchise or the grant of additional franchises in one or more service areas could adversely affect our business.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cable systems generally operate pursuant to franchises, permits and similar authorizations issued by a state or local governmental authority controlling the public rights-of-way. 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In some instances, local franchises have not been renewed at expiration, and we have operated and are operating under either temporary operating agreements or without a franchise while negotiating renewal terms with the local franchising authorities.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assure you that we will be able to comply with all significant provisions of our franchise agreements and certain of our franchisors have from time to time alleged that we have not complied with these agreements. Additionally, although historically we have renewed our franchises without incurring significant costs, we cannot assure you that we will be able to renew, or to renew as favorably, our franchises in the future. A termination of or a sustained failure to renew a franchise in one or more service areas could adversely affect our business in the affected geographic area.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cable system franchises are non-exclusive. Consequently, local and state franchising authorities can grant additional franchises to competitors in the same geographic area or operate their own cable systems. In some cases, local government entities and municipal utilities may legally compete with us on more favorable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Cybersecurity risks are classified as a Tier 1 risk within our enterprise risk management program. We are committed to protecting the security and integrity of our systems, networks, databases and applications. We routinely invest to develop and implement numerous cybersecurity programs and processes, including risk management and assessment programs, security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event monitoring capabilities, detailed incident response plans, and other advanced detection, prevention and protection capabilities, including practices and tools to monitor and mitigate insider threats. We regularly assess cybersecurity risks to identify and enumerate threats to us and vulnerabilities these threats can exploit to adversely impact our business operations. In some instances, we engage third parties to conduct or assist us with conducting cybersecurity risk assessments.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cybersecurity program employs various risk-tracking tools, industry data, monitoring, detection and response tools, vulnerability scanning, security dashboards and scorecards and other tools to support our continued evaluation of cybersecurity threats and regulatory requirements. Our cybersecurity program addresses the continuously evolving and extensive attack vectors and methods through layered security controls informed by constant threat analysis. Threats include a wide variety of perpetrators aiming for political, personal or financial gain, utilizing a broad set of tactics including ransomware, advanced malware, DDoS, account takeover, phishing/SMSing and social engineering, among others. These risks threaten our internal systems as well as third-party systems that we use and rely upon for the delivery of services and support of our operations. Our risk mitigation techniques include technology risk management, network segmentation, deployment of enhanced detection tools across our network, systems, databases, and applications and monitoring compliance with security standards.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security standards provide guidance to telecommunications companies in order to help identify and mitigate cybersecurity risks, including the voluntary framework released by the National Institute for Standards and Technology (“NIST”) in 2014 and updated in 2018, in cooperation with other federal agencies and owners and operators of U.S. critical infrastructure. The NIST cybersecurity framework provides a prioritized and flexible model for organizations to identify and manage cyber risks inherent to their business. Our security infrastructure is comprised of multiple security capabilities designed with a defense-in-depth model informed by the NIST cybersecurity framework, as well as a variety of other industry standards and best practices. The risk-based approach of the NIST cybersecurity framework has enabled us to implement cybersecurity programs tailored to our particular network architectures, customer environments and institutional resources.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cybersecurity risk management program also attempts to assess third-party vendor, service provider, business partner and supply chain risk management issues. Our efforts aim to better understand the cybersecurity posture of our third-party vendors, service providers, business partners and suppliers by analyzing their cybersecurity risk management programs. Our third-party cybersecurity risk management processes include reviewing and revising our service provider and vendor management programs and the related agreements to require prompt notification of cyber incidents, outages and software vulnerabilities to facilitate timely assessment and disclosure of third-party cyber risks. Generally, our agreements require our third-party providers to abide by specific privacy, confidentiality and security processes, particularly for third-party data-processing activities. For vendors that offer software as a service solutions involving personal information, our third-party risk management program generally requires third-party attestation of their security practices such as a System and Organization Controls 2 report or ISO27001 certification. Our due diligence and selection processes also require third parties to complete a cybersecurity and data privacy questionnaire that includes questions about contractor track record. Our third-party security reviews are limited by their disclosures; therefore, a risk-based approach is used in making vendor and contractual decisions based on those disclosures and the totality of the circumstances, such as whether the third party will have access to personal information or our network.</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report, we are not aware of any risks from cybersecurity threats that have materially affected or are reasonably likely to materially affect us, including our business strategy,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organizational objectives are aligned to address our cybersecurity risks and management plays a pivotal role in assessing and managing our material risks from cybersecurity threats. Management’s role in assessing and managing material cybersecurity risks includes various management positions and committees responsible for assessing such risks. Our internal processes require escalation of material cybersecurity risks to our executive leadership and Charter's Board of Directors, as well as management and committees who are tasked with the prevention, detection, mitigation and remediation of cybersecurity incidents. These processes provide guidance for consistent and effective incident handling and response and set standards for internal notifications and escalations, as well as external notification considerations with respect to a cybersecurity event or incident requiring disclosure or notification to a state and/or federal agency or affected customers.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Charter's Board of Directors has delegated to the Audit Committee oversight of our privacy and data security, including cybersecurity, risk exposures, policies and practices, including the steps management have taken to detect, monitor and control such risks and the potential impact of those exposures on our business, financial results, operations and reputation. Charter's Audit Committee receives quarterly updates on the enterprise risk management program, including information on cybersecurity risks and initiatives undertaken to identify, assess and mitigate such risks. This cybersecurity reporting may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include threat and incident reporting, vulnerability detection reporting, risk mitigation metrics, systems and security operations updates or internal audit observations, if applicable.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unified cybersecurity leadership team, composed of members of our Security Executive Steering Committee (“Security ESC”) to oversee implementation of appropriate cybersecurity protections and promote accountability. The Security ESC is led by senior executives in our information technology ("IT") and network operations groups and is comprised of senior executive leaders across the organization with the goal of driving cybersecurity focus through not just technical teams, but the entire business. The Security ESC reviews and evaluates current cyber threats and risks and improvements to our program and provides quarterly updates to the Chief Executive Officer as well as ad hoc updates on urgent matters. We also have a Cyber Security Council (“CSC”) and Security Operations Steering Committee that, under the direction of the Security ESC, collectively focus on cybersecurity across Charter and the overall protection of our internal network and related processes, policy, training and actions to protect customer and employee data. The CSC is comprised of senior leaders across the organization and operates under the auspices of the Security ESC, which is ultimately accountable under our enterprise risk management program for cybersecurity.</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executive team members overseeing our cybersecurity program are Magesh Srinivasan, Executive Vice President, Network Operations, and Jake Perlman, Executive Vice President, Software Development &amp; IT. Our Security Operations Center and Security Compliance teams (including Software Development and IT and Network Security Operations) are unified under our Chief Information Security Officer, Greg Temm, to provide a centralized view of our risk posture to prevent vulnerabilities and more effectively manage cybersecurity threats across the enterprise.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Srinivasan is responsible for network operations across our 41-state footprint. He joined Charter in 2016, and most recently served as Senior Vice President in Network Operations, first in Core and Backbone Operations and most recently in Video Operations. Prior to that, he served in several senior engineering roles at Time Warner Cable Inc. ("TWC"), including as Group Vice President of Commercial Engineering and Operations, Vice President of Commercial Engineering for TWC’s West Region, and Director in the Texas Region. Mr. Srinivasan began his career at Sprint Corporation in a series of engineering roles with increased responsibility. He received a bachelor of science from Anna University, a master’s degree and doctorate in materials science from Kansas State University, and a master’s degree in business administration from the Graduate School of Business at the University of Kansas.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Perlman leads software development, security, technical integration, and IT. His scope includes software design and development for customer service agent, field technician, and customer self-service applications. Mr. Perlman joined Charter as a Senior Vice President in 2016, initially overseeing Video and Shared Software Services. He added Video Engineering, Voice Engineering, Lab Infrastructure and Deployment Support to his team in 2019. Before joining Charter, Mr. Perlman served as Chief information Officer for Bright House Networks, where he oversaw all of IT including Billing System Management, Software Development, Online Development, Internal IT, Information Security, and other functions. Prior to that, he held various IT roles at CenturyLink. Mr. Perlman holds a bachelor of arts from Brown University and a master of business administration from the University of Colorado – Boulder Leeds School of Business.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Temm joined Charter in 2020 as Group Vice President, IT Security, where he maintained responsibility for cybersecurity across our IT infrastructure, leading cyber threat intelligence, vulnerability management, security operations, incident response, information security engineering and architecture, risk management and security awareness. Previously, Mr. Temm was Chief Information Risk Officer for the Financial Services-Information Sharing and Analysis Center (FS-ISAC) where he collaborated with global financial services companies – foremost cybersecurity providers, law enforcement and government agencies – to protect the financial services sector against cyber and physical threats while coordinating responses to sector-wide incidents. Prior to FS-ISAC, Mr. Temm spent nearly two decades with Mastercard, serving in various leadership roles in cybersecurity, corporate security, network operations and debit operations. He holds a bachelor of science in business administration from Lindenwood University, where he graduated with Great Distinction. He is also a Certified Information Systems Security Professional ("CISSP").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physical assets consist of cable distribution plant and equipment, including signal receiving, encoding and decoding devices, headend reception facilities, distribution systems, and customer premise equipment for each of our cable systems. Our cable plant and related equipment are generally attached to utility poles under pole rental agreements with local public utilities and telephone companies, and in certain locations are buried in underground ducts or trenches. We own or lease real property for signal reception sites and own our service vehicles. We generally lease space for business offices. Our headend locations are located on owned or leased parcels of land. The physical components of our cable systems require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spacing w:after="0" w:line="282" w:lineRule="auto"/>
        <w:rPr>
          <w:sz w:val="20"/>
          <w:szCs w:val="20"/>
          <w:color w:val="auto"/>
        </w:rPr>
      </w:pPr>
      <w:r>
        <w:rPr>
          <w:rFonts w:ascii="Times New Roman" w:cs="Times New Roman" w:eastAsia="Times New Roman" w:hAnsi="Times New Roman"/>
          <w:sz w:val="18"/>
          <w:szCs w:val="18"/>
          <w:color w:val="auto"/>
        </w:rPr>
        <w:t>maintenance as well as periodic upgrades to support the new services and products we introduce. See “Item 1. Business – Our Network Technology.” We believe that our properties are generally in good operating condition and are suitable for our business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legal proceedings information set forth in Note 20 to the accompanying consolidated financial statements contained in “Part II. Item 8. Financial Statements and Supplementary Data” in this Annual Report on Form 10-K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Charter’s Class A common stock is listed on the NASDAQ Global Select Market under the symbol “CHTR.” As of December 31, 2023, there were approximately 9,300 holders of record of Charter’s Class A common stock and one holder of Charter's Class B common stock. Charter has not paid cash dividends on its common stock and does not intend to do so in the foreseeable future. During 2023, there were no unregistered sales of securities of the registrant.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provided as of December 31, 2023 with respect to Charter's equity compensation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Securities to be</w:t>
            </w:r>
          </w:p>
        </w:tc>
        <w:tc>
          <w:tcPr>
            <w:tcW w:w="14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9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140" w:type="dxa"/>
            <w:vAlign w:val="bottom"/>
          </w:tcPr>
          <w:p>
            <w:pPr>
              <w:spacing w:after="0"/>
              <w:rPr>
                <w:sz w:val="15"/>
                <w:szCs w:val="15"/>
                <w:color w:val="auto"/>
              </w:rPr>
            </w:pPr>
          </w:p>
        </w:tc>
        <w:tc>
          <w:tcPr>
            <w:tcW w:w="17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28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4"/>
        </w:trPr>
        <w:tc>
          <w:tcPr>
            <w:tcW w:w="470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80" w:type="dxa"/>
            <w:vAlign w:val="bottom"/>
            <w:gridSpan w:val="2"/>
          </w:tcPr>
          <w:p>
            <w:pPr>
              <w:jc w:val="center"/>
              <w:ind w:left="2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8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229"/>
        </w:trPr>
        <w:tc>
          <w:tcPr>
            <w:tcW w:w="4700" w:type="dxa"/>
            <w:vAlign w:val="bottom"/>
            <w:gridSpan w:val="2"/>
            <w:vMerge w:val="continue"/>
          </w:tcPr>
          <w:p>
            <w:pPr>
              <w:spacing w:after="0"/>
              <w:rPr>
                <w:sz w:val="19"/>
                <w:szCs w:val="19"/>
                <w:color w:val="auto"/>
              </w:rPr>
            </w:pPr>
          </w:p>
        </w:tc>
        <w:tc>
          <w:tcPr>
            <w:tcW w:w="19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 and Rights</w:t>
            </w: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15,029,325</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403.81</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5,113,241</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6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15,029,325</w:t>
            </w:r>
          </w:p>
        </w:tc>
        <w:tc>
          <w:tcPr>
            <w:tcW w:w="20" w:type="dxa"/>
            <w:vAlign w:val="bottom"/>
          </w:tcPr>
          <w:p>
            <w:pPr>
              <w:spacing w:after="0"/>
              <w:rPr>
                <w:sz w:val="19"/>
                <w:szCs w:val="19"/>
                <w:color w:val="auto"/>
              </w:rPr>
            </w:pP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5,113,241</w:t>
            </w:r>
          </w:p>
        </w:tc>
        <w:tc>
          <w:tcPr>
            <w:tcW w:w="20" w:type="dxa"/>
            <w:vAlign w:val="bottom"/>
          </w:tcPr>
          <w:p>
            <w:pPr>
              <w:spacing w:after="0"/>
              <w:rPr>
                <w:sz w:val="19"/>
                <w:szCs w:val="19"/>
                <w:color w:val="auto"/>
              </w:rPr>
            </w:pP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hanging="332"/>
        <w:spacing w:after="0" w:line="229" w:lineRule="auto"/>
        <w:tabs>
          <w:tab w:leader="none" w:pos="35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total does not include 10,609 shares issued pursuant to restricted stock grants made under Charter's 2019 Stock Incentive Plan, which are subject to vesting based on continued service.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securities issued under Charter's equity compensation plans, see Note 16 to our accompanying consolidated financial statements contained in “Part II. Item 8. Financial Statements and Supplementary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performance graph required by Item 5 will be included in Charter’s 2024 Proxy Statement (the “Proxy Statement”) under the heading “Compensation Discussion and Analysis” or in an amendment to this Annual Report on Form 10-K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5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Charter’s purchases of equity securities completed during the fourth quarter of 2023 (dollars 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238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40" w:type="dxa"/>
            <w:vAlign w:val="bottom"/>
          </w:tcPr>
          <w:p>
            <w:pPr>
              <w:spacing w:after="0"/>
              <w:rPr>
                <w:sz w:val="15"/>
                <w:szCs w:val="15"/>
                <w:color w:val="auto"/>
              </w:rPr>
            </w:pPr>
          </w:p>
        </w:tc>
        <w:tc>
          <w:tcPr>
            <w:tcW w:w="2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2160" w:type="dxa"/>
            <w:vAlign w:val="bottom"/>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Under the Plans</w:t>
            </w:r>
          </w:p>
        </w:tc>
        <w:tc>
          <w:tcPr>
            <w:tcW w:w="0" w:type="dxa"/>
            <w:vAlign w:val="bottom"/>
          </w:tcPr>
          <w:p>
            <w:pPr>
              <w:spacing w:after="0"/>
              <w:rPr>
                <w:sz w:val="1"/>
                <w:szCs w:val="1"/>
                <w:color w:val="auto"/>
              </w:rPr>
            </w:pPr>
          </w:p>
        </w:tc>
      </w:tr>
      <w:tr>
        <w:trPr>
          <w:trHeight w:val="243"/>
        </w:trPr>
        <w:tc>
          <w:tcPr>
            <w:tcW w:w="2160" w:type="dxa"/>
            <w:vAlign w:val="bottom"/>
            <w:tcBorders>
              <w:bottom w:val="single" w:sz="8" w:color="auto"/>
            </w:tcBorders>
            <w:vMerge w:val="continue"/>
          </w:tcPr>
          <w:p>
            <w:pPr>
              <w:spacing w:after="0"/>
              <w:rPr>
                <w:sz w:val="21"/>
                <w:szCs w:val="21"/>
                <w:color w:val="auto"/>
              </w:rPr>
            </w:pPr>
          </w:p>
        </w:tc>
        <w:tc>
          <w:tcPr>
            <w:tcW w:w="2380" w:type="dxa"/>
            <w:vAlign w:val="bottom"/>
            <w:tcBorders>
              <w:bottom w:val="single" w:sz="8" w:color="auto"/>
            </w:tcBorders>
          </w:tcPr>
          <w:p>
            <w:pPr>
              <w:jc w:val="center"/>
              <w:ind w:left="270"/>
              <w:spacing w:after="0" w:line="243" w:lineRule="exact"/>
              <w:rPr>
                <w:sz w:val="20"/>
                <w:szCs w:val="20"/>
                <w:color w:val="auto"/>
              </w:rPr>
            </w:pPr>
            <w:r>
              <w:rPr>
                <w:rFonts w:ascii="Times New Roman" w:cs="Times New Roman" w:eastAsia="Times New Roman" w:hAnsi="Times New Roman"/>
                <w:sz w:val="18"/>
                <w:szCs w:val="18"/>
                <w:b w:val="1"/>
                <w:bCs w:val="1"/>
                <w:color w:val="auto"/>
                <w:w w:val="94"/>
              </w:rPr>
              <w:t xml:space="preserve">Purchased </w:t>
            </w:r>
            <w:r>
              <w:rPr>
                <w:rFonts w:ascii="Times New Roman" w:cs="Times New Roman" w:eastAsia="Times New Roman" w:hAnsi="Times New Roman"/>
                <w:sz w:val="23"/>
                <w:szCs w:val="23"/>
                <w:b w:val="1"/>
                <w:bCs w:val="1"/>
                <w:color w:val="auto"/>
                <w:w w:val="94"/>
                <w:vertAlign w:val="superscript"/>
              </w:rPr>
              <w:t>(1)</w:t>
            </w: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1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or Programs </w:t>
            </w:r>
            <w:r>
              <w:rPr>
                <w:rFonts w:ascii="Times New Roman" w:cs="Times New Roman" w:eastAsia="Times New Roman" w:hAnsi="Times New Roman"/>
                <w:sz w:val="23"/>
                <w:szCs w:val="23"/>
                <w:b w:val="1"/>
                <w:bCs w:val="1"/>
                <w:color w:val="auto"/>
                <w:w w:val="96"/>
                <w:vertAlign w:val="superscript"/>
              </w:rPr>
              <w:t>(2)</w:t>
            </w:r>
          </w:p>
        </w:tc>
        <w:tc>
          <w:tcPr>
            <w:tcW w:w="22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or Programs </w:t>
            </w:r>
            <w:r>
              <w:rPr>
                <w:rFonts w:ascii="Times New Roman" w:cs="Times New Roman" w:eastAsia="Times New Roman" w:hAnsi="Times New Roman"/>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 2023</w:t>
            </w:r>
          </w:p>
        </w:tc>
        <w:tc>
          <w:tcPr>
            <w:tcW w:w="238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1,051,761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434.65</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1,049,735</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$454</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1 - 30, 2023</w:t>
            </w:r>
          </w:p>
        </w:tc>
        <w:tc>
          <w:tcPr>
            <w:tcW w:w="2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1,164,184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417.85</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993,441</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 2023</w:t>
            </w:r>
          </w:p>
        </w:tc>
        <w:tc>
          <w:tcPr>
            <w:tcW w:w="238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753,534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392.74</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744,109</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hanging="332"/>
        <w:spacing w:after="0" w:line="22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2,026, 170,743 and 9,425 shares withheld from employees for the payment of taxes and exercise costs upon the exercise of stock options or vesting of other equity awards for the months of October, November and December 2023, respectively.</w:t>
      </w:r>
    </w:p>
    <w:p>
      <w:pPr>
        <w:jc w:val="both"/>
        <w:ind w:left="340" w:hanging="332"/>
        <w:spacing w:after="0" w:line="22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December 31, 2023, Charter purchased approximately 2.8 million shares of its Class A common stock for approximately $1.2 billion, which includes 0.8 million Charter class A common shares purchased from Liberty Broadband pursuant to the LBB Letter Agreement at an average price per unit of $423.95, or $352 million. Charter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Holdings purchased 0.4 million Charter Holdings common units from A/N at an average price per unit of $428.47, or $173 million during the three months ended December 31, 2023. As of December 31, 2023, Charter had remaining board authority to purchase an additional $170 million of Charter’s Class A common stock and/or Charter Holdings common units, excluding purchases from Liberty Broadband. In addition to open market purchases including pursuant to Rule 10b5-1 plans adopted from time to time, Charter may also buy shares of Charter Class A common stock, from time to time, pursuant to private transactions outside of its Rule 10b5-1 plan and any such repurchases may also trigger the repurchases from A/N pursuant to and to the extent provided in the A/N Letter Agreement or Liberty pursuant to the LBB Letter Agreement. See "Part II. Item 7. Management's Discussion and Analysis of Financial Condition and Results of Operations — Liquidity and Capital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 is made to “Part I. Item 1A. Risk Factors” and “Cautionary Statement Regarding Forward-Looking Statements,” which describe important factors that could cause actual results to differ from expectations and non-historical information contained herein. In addition, the following discussion should be read in conjunction with the audited consolidated financial statements and accompanying notes thereto of Charter included in “Part II. Item 8. Financial Statements and Supplementary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leading broadband connectivity company and cable operator serving more than 32 million customers in 41 states through our Spectrum brand. Over an advanced communications network, we offer a full range of state-of-the-art residential and business services including Spectrum Internet, TV, Mobile and Voice. For small and medium-sized companies, Spectrum Business delivers the same suite of broadband products and services coupled with special features and applications to enhance productivity, while for larger businesses and government entities, Spectrum Enterprise provides highly customized, fiber-based solutions. Spectrum Reach delivers tailored advertising and production for the modern media landscape. We also distribute award-winning news coverage and sports programming to our customers through Spectrum Networks. See “Part I. Item 1. Business — Products and Services” for further description of these services, including customer statistics for different services.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we added 2,474,000 mobile lines and 155,000 Internet customers. We spent $1.9 billion on our subsidized rural construction initiative during the year ended December 31, 2023 and activated approximately 295,000 subsidized rural passings. Our mobile line and Internet customer additions were supported by our Spectrum One offering, which brings together Spectrum Internet, Advanced WiFi and Unlimited Spectrum Mobile to offer consumers fast, reliable and secure online connections on their favorite devices at home and on-the-go in a high-value package, and were further supported by growth in our legacy and new subsidized rural markets.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upgrade our network to provide higher Internet speeds and reliability and invest in our products and customer service platforms. We currently offer Spectrum Internet products with speeds up to 1 Gbps across our entire footprint and we are upgrading our network to provide multi-gigabit speeds. Our Advanced WiFi, a managed WiFi service that provides customers an optimized home network and greater control over connected devices with enhanced security and privacy, is available to all of our Internet customers. We continue to invest in our ability to provide a differentiated Internet connectivity experience for our mobile and fixed Internet customers with increasing availability of out-of-home WiFi access points across our footprint. In addition, we continue to work towards the construction of our own 5G mobile data-only network in targeted areas of our footprint leveraging our CBRS Priority Access Licenses.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continue to develop our video product. In September 2023, we entered into a new affiliation agreement with The Walt Disney Company ("Disney"), which provides a template for a new programming affiliation approach where we partner with content providers to provide access to both linear and app-based DTC content. In October 2023, we began deploying Xumo to new video customers. Xumo combines a live TV experience with access to hundreds of content applications, and features unified search and discovery along with a curated content offering based on the customer's interests and subscriptions. By continually improving our product set and offering consumers the opportunity to save money by switching to our services, we believe we can continue to penetrate our expanding footprint and sell additional products to our existing customers. We are also beginning to see operational benefits from the targeted investments we are making in employee wages and benefits to build employee skill sets and tenure, as well as the continued investments in digitization of our customer service platforms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proactive maintenance, all with the goal of improving the customer experience, reducing transactions and driving customer growth and retention.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realized revenue, Adjusted EBITDA and income from operations during the periods presented as follows (in millions; all percentages are calculated using whole numbers; minor differences may exist due to rounding).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Growth</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3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attributable to Charter shareholders plus net income attributable to noncontrolling interest, net interest expense, income taxes, depreciation and amortization, stock compensation expense, other income (expense), net and other operating (income) expenses, net, such as special charges and (gain) loss on sale or retirement of assets. See “—Use of Adjusted EBITDA and Free Cash Flow” for further information on Adjusted EBITDA and free cash flow.</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Growth in total revenue was primarily due to growth in our residential Internet customers and residential mobile lines partly offset by lower residential video and advertising sales revenues. Adjusted EBITDA and income from operations growth was driven by growth in revenue and increases in operating costs and expenses, primarily mobile device and other mobile direct costs and costs to service customers, partly offset by a decrease in programming expense. Income from operations was also affected by a gain on the sale of towers and lower depreciation and amortization expense, partly offset by an increase in stock compensation expense.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90% of our revenues for each of the years ended December 31, 2023 and 2022 are attributable to monthly subscription fees charged to customers for our Internet, video, voice, mobile and commercial services as well as regional sports and news channels. Generally, these customer subscriptions may be discontinued by the customer at any time subject to a fee for certain commercial customers. The remaining 10% of our revenue is derived primarily from advertising revenues, franchise and other regulatory fee revenues (which are collected by us but then paid to local authorities), sales of mobile and video devices, processing fees or reconnection fees charged to customers to commence or reinstate service, installation, VOD and pay-per-view programming, and commissions related to the sale of merchandise by home shopping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accounting policies require our management to make difficult, subjective and/or complex judgments. Management has discussed these policies with the Audit Committee of Charter’s Board of Directors, and the Audit Committee has reviewed the following disclosure. We consider the following policies to be the most critical in understanding the estimates, assumptions and judgments that are involved in preparing our financial statements, and the uncertainties that could affect our results of operations, financial condition and cash flows:</w:t>
      </w:r>
    </w:p>
    <w:p>
      <w:pPr>
        <w:spacing w:after="0" w:line="20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of labor and overhead costs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benefit pension plans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labor and overhead costs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Costs associated with network construction or upgrades, placement of the customer drop to the dwelling and the placement of outlets within a dwelling along with the costs associated with the deployment of new customer premise equipment necessary to provide Internet, video or voice services, are capitalized. Costs capitalized include materials, direct labor and certain indirect costs. These indirect costs consist of compensation and overhead costs associated with support functions. While our capitalization is based on specific activities, once capitalized, we track these costs on a composite basis by fixed asset category at the cable system level, and not on a specific asset basis. For assets that are sold or retired, we remove the estimated applicable cost and accumulated depreciation. The costs of disconnecting service and removing customer premise equipment from a dwelling and the costs to reconnect a customer drop or to redeploy previously installed customer premise equipment are charged to operating expense as incurred. Costs for repairs and maintenance are charged to operating expense as incurred,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while plant and equipment replacement, including replacement of certain components, betterments, and replacement of cable drops and outlets, are capitalized.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make judgments regarding the installation and construction activities to be capitalized. We capitalized direct labor and overhead of $2.3 billion and $1.8 billion for the years ended December 31, 2023 and 2022, respectively. We capitalize direct labor and overhead using standards developed from actual costs and applicable operational data. We calculate standards annually (or more frequently if circumstances dictate) for items such as the labor rates, overhead rates, and the actual amount of time required to perform a capitalizable activity. For example, the standard amounts of time required to perform capitalizable activities are based on studies of the time required to perform such activities. Overhead rates are established based on an analysis of the nature of costs incurred in support of capitalizable activities, and a determination of the portion of costs that is directly attributable to capitalizable activities. The impact of changes that resulted from these studies were not material in the periods presented.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Labor costs directly associated with capital projects are capitalized. Capitalizable activities performed in connection with installations include such activities as:</w:t>
      </w:r>
    </w:p>
    <w:p>
      <w:pPr>
        <w:spacing w:after="0" w:line="18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dispatching a “truck roll” to the customer’s dwelling or business for service connection or placement of new equipment;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package and ship new equipment to a customer's home for self-installation;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verification of serviceability to the customer’s dwelling or business (i.e., determining whether the customer’s dwelling is capable of receiving service by our cable network);</w:t>
      </w:r>
    </w:p>
    <w:p>
      <w:pPr>
        <w:ind w:left="660" w:right="2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premise activities performed by in-house field technicians and third-party contractors in connection with the installation, replacement and betterment of equipment and materials to enable Internet, video or voice services; and</w:t>
      </w:r>
    </w:p>
    <w:p>
      <w:pPr>
        <w:ind w:left="66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integrity of the customer’s network connection by initiating test signals downstream from the headend to the customer premise equipment, as well as testing signal levels at the utility pole or pedestal.</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Judgment is required to determine the extent to which overhead costs incurred result from specific capital activities, and therefore should be capitalized. The primary costs that are included in the determination of the overhead rate are (i) employee benefits and payroll taxes associated with capitalized direct labor, (ii) direct variable costs associated with capitalizable activities, (iii) the cost of support personnel, such as care personnel and dispatchers, who assist with capitalizable installation activities, and (iv) indirect costs directly attributable to capitalizable activities.</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While we believe our existing capitalization policies are appropriate, a significant change in the nature or extent of our operating practices could affect management’s judgment about the extent to which we should capitalize direct labor or overhead in the future. We monitor the appropriateness of our capitalization policies, and perform updates to our internal studies on an ongoing basis to determine whether facts or circumstances warrant a change to our capitalization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deferred tax assets and liabilities for temporary differences between the financial reporting basis and the tax basis of our assets and liabilities and expected benefits of utilizing loss carryforwards, including indefinite lived carryovers such as the Section 163(j) interest limitation. Valuation allowances are established when management determines that it is more likely than not that some portion or the entire deferred tax asset will not be realized. In evaluating the need for a valuation allowance, management takes into account various factors, including the expected level of future taxable income, available tax planning strategies and reversals of existing taxable temporary differences. The impact on deferred taxes of changes in tax rates and tax law, if any, applied to the years during which temporary differences are expected to be settled, are reflected in the consolidated financial statements in the period of enactment. In determining our tax provision for financial reporting purposes, we establish a reserve for uncertain tax positions unless such positions are determined to be “more likely than not” of being sustained upon examination, based on their technical merits. There is considerable judgment involved in making such a determination. We recognize interest and penalties accrued on uncertain income tax positions as part of the income tax provision.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sponsor qualified and unqualified defined benefit pension plans that provide pension benefits to a majority of employees who were employed by TWC before the merger with TWC. As of December 31, 2023, the accumulated benefit obligation and fair value of plan assets was $2.4 billion and $2.6 billion, respectively, and the net funded asset was recorded as a $149 million noncurrent asset, $3 million current liability and $19 million long-term liability. As of December 31, 2022, the accumulated benefit obligation and fair value of plan assets was $2.2 billion and $2.6 billion, respectively, and the net funded asset was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recorded as a $362 million noncurrent asset, $5 million current liability and $17 million long-term liability. In June 2023, we purchased a buy-in group annuity contract from a highly rated insurer and in October 2023, we announced plans to fully terminate the qualified pension plan. The benefit obligation for the qualified pension plan as of December 31, 2023 of $2.4 billion was therefore determined on a plan termination basis for which it is assumed that a portion of eligible active and deferred vested participants will elect lump sum payments.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Pension benefits are based on formulas that reflect the employees’ years of service and compensation during their employment period. Actuarial gains or losses are changes in the amount of either the benefit obligation or the fair value of plan assets resulting from experience different from that assumed or from changes in assumptions. We have elected to follow a mark-to-market pension accounting policy for recording the actuarial gains or losses annually during the fourth quarter, or earlier if a remeasurement event occurs during an interim period. We use a December 31 measurement date for our pension plans.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recognized net periodic pension cost of $216 million in 2023 and net periodic pension benefit of $254 million in 2022. Net periodic pension benefit or cost is determined using certain assumptions, including the expected long-term rate of return on plan assets, discount rate and mortality assumptions. We determined the discount rate used to compute pension cost based on the yield of a large population of high-quality corporate bonds with cash flows sufficient in timing and amount to settle projected future defined benefit payments. In developing the expected long-term rate of return on assets, we considered the current pension portfolio’s composition, past average rate of earnings, and our asset allocation targets. We used a discount rate of 4.65% to determine the December 31, 2023 pension plan benefit obligation. A decrease in the discount rate of 25 basis points would result in an $80 million increase in our pension plan benefit obligation as of December 31, 2023 and net periodic pension cost recognized in 2023 under our mark-to-market accounting policy. The expected long-term rate of return on plan assets used to determine net periodic pension benefit for the year ended December 31, 2024 is expected to be 5.00%. A decrease in the expected long-term rate of return of 25 basis points to 4.75%, while holding all other assumptions constant, would result in a decrease in our 2024 net periodic pension benefit of approximately $6 million. See Note 21 to the accompanying consolidated financial statements contained in “Part II. Item 8. Financial Statements and Supplementary Data” for additional discussion on these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discussion of changes in our results of operations during the year ended December 31, 2022 compared to the year ended December 31, 2021 has been omitted from this Annual Report on Form 10-K, but may be found in “Item 7. Management’s Discussion and Analysis of Financial Condition and Results of Operations” in our Annual Report on Form 10-K for the year ended December 31, 2022, filed with the SEC on January 27, 2023, which is available free of charge on the SEC's website at www.sec.gov and on Charter's investor relations website at ir.charter.com.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consolidated statements of operations for the periods presented (dollars in millions,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54,022</w:t>
            </w:r>
          </w:p>
        </w:tc>
      </w:tr>
      <w:tr>
        <w:trPr>
          <w:trHeight w:val="196"/>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 (exclusive of items shown separately below)</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32,876</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3"/>
        </w:trPr>
        <w:tc>
          <w:tcPr>
            <w:tcW w:w="8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42,060</w:t>
            </w:r>
          </w:p>
        </w:tc>
      </w:tr>
      <w:tr>
        <w:trPr>
          <w:trHeight w:val="22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11,962</w:t>
            </w:r>
          </w:p>
        </w:tc>
      </w:tr>
      <w:tr>
        <w:trPr>
          <w:trHeight w:val="196"/>
        </w:trPr>
        <w:tc>
          <w:tcPr>
            <w:tcW w:w="8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8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196"/>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CHARTER SHAREHOLDERS: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5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149,208,188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161,501,355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151,966,313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164,433,596</w:t>
            </w: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Total revenues grew $585 million or 1.1% during the year ended December 31, 2023 as compared to 2022 primarily due to growth in residential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Internet revenue, mobile device sales and residential mobile service revenues partly offset by lower residential video and advertising sales revenues as well as $68 million of total customer credits related to the temporary loss of Disney programming during 2023.</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Revenues by service offering were as follows (dollars in millions; all percentages are calculated using whole numbers; minor differences may exist due to rounding):</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65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Growth</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Internet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Voice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6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Mobile service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32.1 %</w:t>
            </w:r>
          </w:p>
        </w:tc>
      </w:tr>
      <w:tr>
        <w:trPr>
          <w:trHeight w:val="223"/>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revenue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128"/>
        </w:trPr>
        <w:tc>
          <w:tcPr>
            <w:tcW w:w="6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 and medium business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Enterprise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3"/>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revenue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129"/>
        </w:trPr>
        <w:tc>
          <w:tcPr>
            <w:tcW w:w="6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sales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48"/>
        </w:trPr>
        <w:tc>
          <w:tcPr>
            <w:tcW w:w="6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54,607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Internet revenues from our residential customers was attributable to the following (dollars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2023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related to rate and product mix changes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average residential Internet customers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related to rate and product mix was primarily due to promotional rate step-ups and rate adjustments, partly offset by lower bundled revenue allocation. Residential Internet customers grew by 132,000 in 2023 compared to 2022.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Video revenues consist primarily of revenues from video services provided to our residential customers, as well as franchise fees, equipment service fees and video installation revenue. The decrease in video revenues was attributable to the following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2023 compared to</w:t>
            </w:r>
          </w:p>
        </w:tc>
      </w:tr>
      <w:tr>
        <w:trPr>
          <w:trHeight w:val="238"/>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video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related to rate and product mix changes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Residential video customers decreased by 994,000 in 2023 compared to 2022. The decrease related to rate and product mix was primarily due to a higher mix of lower cost video packages within our video customer base and $63 million of customer credits related to the temporary loss of Disney programming in 2023, offset by the pass-through of programming cost increases and promotional rate step-ups.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decrease in voice revenues from our residential customers was attributable to the following (dollars in millions):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5"/>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2023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voice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related to rate adjustments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wireline voice customers decreased by 985,000 in 2023 compared to 2022.</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increase in mobile service revenues from our residential customers is attributable to the following (dollars in millions):</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46"/>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average residential mobile lines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883</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related to rate</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rPr>
              <w:t>(338)</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545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Residential mobile lines increased by 2,403,000 in 2023 compared to 2022. The decrease related to rate is primarily related to the Spectrum One offering and is partly offset by higher bundled revenue allocation.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increase in SMB revenues is attributable to the following (dollars in millions):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5"/>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2023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SMB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related to rate and product mix changes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SMB customers grew by 15,000 in 2023 compared to 2022. The decrease related to rate and product mix changes were primarily due to a higher mix of lower priced video packages and a lower number of voice lines per SMB customer relationship.</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Enterprise revenues increased $93 million during the year ended December 31, 2023 as compared to the corresponding period in 2022 primarily due to an increase in Internet PSUs partly offset by lower wholesale PSUs. Enterprise PSUs increased by 19,000 in 2023 compared to 2022.</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Advertising sales revenues consist primarily of revenues from commercial advertising customers, programmers and other vendors, as well as local cable and advertising on regional sports and news channels. Advertising sales revenues decreased $331 million during the year ended December 31, 2023 as compared to the corresponding period in 2022 primarily due to a decrease in political revenue.</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revenues consist of revenue from mobile and video device sales, processing fees, regional sports and news channels (excluding intercompany charges or advertising sales on those channels), subsidy revenue, home shopping, wire maintenance fees and other miscellaneous revenues. Other revenues increased approximately $623 million during the year ended December 31, 2023 as compared to the corresponding period in 2022 primarily due to higher mobile device sales partially offset by lower processing fees.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our operating costs and expenses, exclusive of items shown separately in the consolidated statements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was attributable to the following (dollars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2023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costs of revenue</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service customers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9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0"/>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Programming costs were approximately $10.6 billion and $11.6 billion for the years ended December 31, 2023 and 2022, representing 32% and 35% of total operating costs and expenses, respectively. Programming costs consist primarily of costs paid to programmers for basic, premium, video on demand, and pay-per-view programming. Programming costs decreased as a</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result of a higher mix of lower cost video packages within our video customer base, fewer customers and a $61 million benefit related to the temporary loss of Disney programming during 2023, partly offset by contractual rate adjustments, including renewals and increases in amounts paid for retransmission consent.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costs of revenue increased $783 million during the year ended December 31, 2023 compared to the corresponding period in 2022 primarily due to higher mobile device sales and higher other mobile direct costs due to an increase in mobile lines, partially offset by lower regulatory pass-through fees and original content costs.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to service customers increased $328 million during the year ended December 31, 2023 compared to the corresponding period in 2022 primarily due to adjustments to job structure, pay and benefits to build a more skilled and longer tenured workforce resulting in lower frontline employee attrition compared to 2022, and additional activity to support the accelerated growth of Spectrum Mobile.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and marketing costs increased $68 million during the year ended December 31, 2023 compared to the corresponding period in 2022 primarily due to higher staffing across sales channels and the accelerated growth of Spectrum Mobile.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increase in other expense was attributable to the following (dollars in millions):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5"/>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2023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costs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sell and service bulk properties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 and insurance</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compensation expense increased during the year ended December 31, 2023 compared to the corresponding prior period primarily due to an increase in equity awards granted. Corporate, costs to sell and service bulk properties and enterprise costs increased primarily due to higher labor costs while property tax and insurance expense decreased during the year ended December 31, 2023 compared to the corresponding prior period primarily as a result of adjustments related to favorable development on prior year workers' compensation claims.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decreased by $207 million during the year ended December 31, 2023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corresponding period in 2022 primarily due to certain assets acquired in acquisitions becoming fully depreciated offset by an increase in depreciation as a result of more recent capital expenditures.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operating (income) expense, net. </w:t>
      </w:r>
      <w:r>
        <w:rPr>
          <w:rFonts w:ascii="Times New Roman" w:cs="Times New Roman" w:eastAsia="Times New Roman" w:hAnsi="Times New Roman"/>
          <w:sz w:val="18"/>
          <w:szCs w:val="18"/>
          <w:color w:val="auto"/>
        </w:rPr>
        <w:t>The change in other operating (income) expense, net was attributable to the following (dollars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2023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more information, see Note 14 to the accompanying consolidated financial statements contained in “Part II. Item 8. Financial Statements and Supplementary Data.”</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Net interest expense increased by $632 million in 2023 from 2022 primarily due to an increase in weighted average interest rates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an increase in weighted average debt outstanding of approximately $2.2 billion.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The change in other income (expense), net is attributable to the following (dollars in millions):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 (see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periodic pension benefit (cost) (see Note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equity investments, net (see Note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2023 compared to</w:t>
      </w: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30" w:lineRule="exact"/>
        <w:rPr>
          <w:sz w:val="20"/>
          <w:szCs w:val="20"/>
          <w:color w:val="auto"/>
        </w:rPr>
      </w:pPr>
    </w:p>
    <w:p>
      <w:pPr>
        <w:ind w:left="1289" w:hanging="1289"/>
        <w:spacing w:after="0"/>
        <w:tabs>
          <w:tab w:leader="none" w:pos="12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w:t>
      </w:r>
    </w:p>
    <w:p>
      <w:pPr>
        <w:spacing w:after="0" w:line="27" w:lineRule="exact"/>
        <w:rPr>
          <w:rFonts w:ascii="Times New Roman" w:cs="Times New Roman" w:eastAsia="Times New Roman" w:hAnsi="Times New Roman"/>
          <w:sz w:val="18"/>
          <w:szCs w:val="18"/>
          <w:color w:val="auto"/>
        </w:rPr>
      </w:pPr>
    </w:p>
    <w:p>
      <w:pPr>
        <w:ind w:left="12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(470)</w:t>
      </w:r>
    </w:p>
    <w:p>
      <w:pPr>
        <w:spacing w:after="0" w:line="22" w:lineRule="exact"/>
        <w:rPr>
          <w:rFonts w:ascii="Times New Roman" w:cs="Times New Roman" w:eastAsia="Times New Roman" w:hAnsi="Times New Roman"/>
          <w:sz w:val="18"/>
          <w:szCs w:val="18"/>
          <w:color w:val="auto"/>
        </w:rPr>
      </w:pPr>
    </w:p>
    <w:p>
      <w:pPr>
        <w:ind w:left="12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 w:lineRule="exact"/>
        <w:rPr>
          <w:sz w:val="20"/>
          <w:szCs w:val="20"/>
          <w:color w:val="auto"/>
        </w:rPr>
      </w:pPr>
    </w:p>
    <w:p>
      <w:pPr>
        <w:ind w:left="1209" w:hanging="1209"/>
        <w:spacing w:after="0"/>
        <w:tabs>
          <w:tab w:leader="none" w:pos="12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458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00" w:space="611"/>
            <w:col w:w="1629"/>
          </w:cols>
          <w:pgMar w:left="320" w:top="927" w:right="339" w:bottom="1440" w:gutter="0" w:footer="0" w:header="0"/>
        </w:sectPr>
      </w:pP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15 and the Notes referenced above to the accompanying consolidated financial statements contained in “Item 1. Financial Statements” for more information.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recognized income tax expense of $1.6 billion for both the years ended December 31, 2023 and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more information,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 17 to the accompanying consolidated financial statements contained in “Part II. Item 8. Financial Statements and Supplementary Data.”</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noncontrolling interest. </w:t>
      </w:r>
      <w:r>
        <w:rPr>
          <w:rFonts w:ascii="Times New Roman" w:cs="Times New Roman" w:eastAsia="Times New Roman" w:hAnsi="Times New Roman"/>
          <w:sz w:val="18"/>
          <w:szCs w:val="18"/>
          <w:color w:val="auto"/>
        </w:rPr>
        <w:t>Net income attributable to noncontrolling interest for financial reporting purposes represents 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Charter Holdings’ net income based on its effective common unit ownership interest. For more information, see Note 10 to the accompanying consolidated financial statements contained in “Part II. Item 8. Financial Statements and Supplementary Data.”</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Charter shareholders. </w:t>
      </w:r>
      <w:r>
        <w:rPr>
          <w:rFonts w:ascii="Times New Roman" w:cs="Times New Roman" w:eastAsia="Times New Roman" w:hAnsi="Times New Roman"/>
          <w:sz w:val="18"/>
          <w:szCs w:val="18"/>
          <w:color w:val="auto"/>
        </w:rPr>
        <w:t>Net income attributable to Charter shareholders was $4.6 billion and $5.1 billion for the years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and 2022, respectively, primarily as a result of the factors described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Adjusted EBITDA and Free Cash Flow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certain measures that are not defined by U.S. generally accepted accounting principles (“GAAP”) to evaluate various aspects of our business. Adjusted EBITDA and free cash flow are non-GAAP financial measures and should be considered in addition to, not as a substitute for, net income attributable to Charter shareholders and net cash flows from operating activities reported in accordance with GAAP. These terms, as defined by us, may not be comparable to similarly titled measures used by other companies. Adjusted EBITDA and free cash flow are reconciled to net income attributable to Charter shareholders and net cash flows from operating activities, respectively, below.</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eliminates the significant non-cash depreciation and amortization expense that results from the capital-intensive nature of our businesses as well as other non-cash or special items, and is unaffected by our capital structure or investment activities. However, this measure is limited in that it does not reflect the periodic costs of certain capitalized tangible and intangible assets used in generating revenues and our cash cost of financing. These costs are evaluated through other financial measures.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is defined as net cash flows from operating activities, less capital expenditures and changes in accrued expenses related to capital expenditures.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and Charter’s Board of Directors use Adjusted EBITDA and free cash flow to assess our performance and our ability to service our debt, fund operations and make additional investments with internally generated funds. In addition, Adjusted EBITDA generally correlates to the leverage ratio calculation under our credit facilities or outstanding notes to determine compliance with the covenants contained in the facilities and notes (all such documents have been previously filed with the SEC). For the purpose of calculating compliance with leverage covenants, we use Adjusted EBITDA, as presented, excluding certain expenses paid by our operating subsidiaries to other Charter entities. Our debt covenants refer to these expenses as management fees, which fees were in the amount of $1.4 billion for each of the years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4" w:name="page45"/>
    <w:bookmarkEnd w:id="4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Adjusted EBITDA and free cash flow to net income attributable to Charter shareholders and net cash flows from operating activities, respectively, is as follows (dollars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00" w:type="dxa"/>
            <w:vAlign w:val="bottom"/>
            <w:tcBorders>
              <w:bottom w:val="single" w:sz="8" w:color="auto"/>
            </w:tcBorders>
          </w:tcPr>
          <w:p>
            <w:pPr>
              <w:spacing w:after="0"/>
              <w:rPr>
                <w:sz w:val="20"/>
                <w:szCs w:val="20"/>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Net income attributable to noncontrolling interest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2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29"/>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30"/>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w:t>
            </w:r>
          </w:p>
        </w:tc>
      </w:tr>
      <w:tr>
        <w:trPr>
          <w:trHeight w:val="229"/>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30"/>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21,616</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16"/>
        </w:trPr>
        <w:tc>
          <w:tcPr>
            <w:tcW w:w="78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14,925</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property, plant and equipment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(11,115)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r>
      <w:tr>
        <w:trPr>
          <w:trHeight w:val="230"/>
        </w:trPr>
        <w:tc>
          <w:tcPr>
            <w:tcW w:w="7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Change in accrued expenses related to capital expenditures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significant amounts of debt and require significant cash to fund principal and interest payments on our debt. The principal amount of our debt as of December 31, 2023 was $97.6 billion, consisting of $12.4 billion of credit facility debt, $57.9 billion of investment grade senior secured notes and $27.3 billion of high-yield senior unsecured notes. Our split credit rating allows us to access both the investment grade debt market and the high yield debt market.</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projected cash needs and projected sources of liquidity depend upon, among other things, our actual results, and the timing and amount of our expenditures. As we continue to grow our market penetration of our mobile product, we will continue to experience negative working capital impacts from the timing of device-related cash flows when we sell devices to customers pursuant to equipment installment plans. Further, in 2022, Charter became a meaningful federal cash tax payer as the majority of our net operating losses had been utilized. Free cash flow was $3.5 billion and $6.1 billion for the years ended December 31, 2023 and 2022, respectively. See table below for factors impacting free cash flow during the year ended December 31, 2023 compared to 2022. As of December 31, 2023, the amount available under our credit facilities was approximately $5.2 billion and cash on hand was approximately $709 million. We expect to utilize free cash flow, cash on hand and availability under our credit facilities as well as future refinancing transactions to further extend the maturities of our obligations. The timing and terms of any refinancing transactions will be subject to market conditions among other considerations. Additionally, we may, from time to time, and depending on market conditions and other factors, use cash on hand and the proceeds from securities offerings or other borrowings to retire our debt through open market purchases, privately negotiated purchases, tender offers or redemption provisions. We believe we have sufficient liquidity from cash on hand, free cash flow and Charter Operating’s revolving credit facility as well as access to the capital markets to fund our projected cash needs.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evaluate the deployment of our cash on hand and anticipated future free cash flow, including investing in our business growth and other strategic opportunities, including expanding the capacity of our network, the expansion of our network through our rural broadband construction initiative, the build-out and deployment of our CBRS spectrum, and mergers and acquisitions as well as stock repurchases and dividends. Charter's target leverage of net debt to the last twelve months Adjusted EBITDA remains at 4 to 4.5 times Adjusted EBITDA, and up to 3.5 times Adjusted EBITDA at the Charter Operating first lien level. Charter's leverage ratio was 4.42 times Adjusted EBITDA as of December 31, 2023. As Adjusted EBITDA grows, we expect to increase the total amount of our indebtedness to maintain leverage within Charter's target leverage range. Excluding purchases from Liberty Broadband discussed below, during the years ended December 31, 2023 and 2022, Charter purchased in the public market approximately 6.9 million and 14.5 million shares, respectively, of Charter Class A common stock for approximately $2.7 billion and $7.1 billion, respectively. Since the beginning of its buyback program in September 2016 through the year ended December 31, 2023, Charter has purchased in the public market approximately 158.3 million shares of Class A common stock and Charter Holdings common units for approximately $72.0 billion, including purchases from Liberty Broadband and A/N discussed below.</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2021, Charter and Liberty Broadband entered into a letter agreement (the “LBB Letter Agreement”). The LBB Letter Agreement implements Liberty Broadband’s obligations under the Stockholders Agreement to participate in share repurchases by Charter. Under the LBB Letter Agreement, Liberty Broadband will sell to Charter, generally on a monthly basis, a number of shares of Charter Class A common stock representing an amount sufficient for Liberty Broadband’s ownership of Charter to be reduced such that it does not exceed the ownership cap then applicable to Liberty Broadband under the Stockholders Agreement at a purchase price per share equal to the volume weighted average price per share paid by Charter for shares repurchased during such immediately preceding calendar month other than (i) purchases from A/N, (ii) purchases in privately negotiated transactions or</w:t>
      </w:r>
    </w:p>
    <w:p>
      <w:pPr>
        <w:spacing w:after="0" w:line="5" w:lineRule="exact"/>
        <w:rPr>
          <w:sz w:val="20"/>
          <w:szCs w:val="20"/>
          <w:color w:val="auto"/>
        </w:rPr>
      </w:pPr>
    </w:p>
    <w:p>
      <w:pPr>
        <w:jc w:val="both"/>
        <w:ind w:firstLine="8"/>
        <w:spacing w:after="0" w:line="255" w:lineRule="auto"/>
        <w:tabs>
          <w:tab w:leader="none" w:pos="3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for the withholding of shares of Charter Class A common stock pursuant to equity compensation programs of Charter. Charter purchased from Liberty Broadband 1.0 million and 6.2 million shares of Charter Class A common stock for approximately $394 million and $3.0 billion during the years ended December 31, 2023 and 2022, respectively.</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2016, Charter and A/N entered into a letter agreement, as amended in December 2017 (the "A/N Letter Agreement"), that requires A/N to sell to Charter or to Charter Holdings, on a monthly basis, a number of shares of Charter Class A common stock or Charter Holdings common units that represents a pro rata participation by A/N and its affiliates in any repurchases of shares of Charter Class A common stock from persons other than A/N effected by Charter during the immediately preceding calendar month, at a purchase price equal to the average price paid by Charter for the shares repurchased from persons other than A/N during such immediately preceding calendar month. A/N and Charter both have the right to terminate or suspend the pro rata repurchase arrangement on a prospective basis. During the years ended December 31, 2023 and 2022, Charter Holdings purchased from A/N 1.1 million and 3.2 million Charter Holdings common units, respectively, for approximately $427 million and $1.6 billion, respectively.</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Charter had remaining board authority to purchase an additional $170 million of Charter’s Class A common stock and/or Charter Holdings common units, excluding purchases from Liberty Broadband. Although Charter expects to continue to buy back its common stock consistent with its leverage target range, Charter is not obligated to acquire any particular amount of common stock, and the timing of any purchases that may occur cannot be predicted and will largely depend on market conditions and other potential uses of capital. Purchases may include open market purchases, tender offers or negotiated transactions.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possible acquisitions, swaps or dispositions arise, we actively review them against our objectives including, among other considerations, improving the operational efficiency, geographic clustering of assets, product development or technology capabilities of our business and achieving appropriate return targets, and we may participate to the extent we believe these possibilities present attractive opportunities. However, there can be no assurance that we will actually complete any acquisitions, dispositions or system swaps, or that any such transactions will be material to our operations or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and February 2024, Charter Operating and Charter Communications Operating Capital Corp. redeemed all of their outstanding senior secured floating rate notes due 2024 and paid in full all of their outstanding 4.500% senior secured notes due 2024 at maturity.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decreased $2.6 billion during the year ended December 31, 2023 compared to the corresponding prior period due to the following (dollars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2023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capital expenditures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working capital, excluding mobile devices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cash paid for interest, net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working capital, mobile devices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cash paid for taxes, net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Adjusted EBITDA</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3"/>
        </w:trPr>
        <w:tc>
          <w:tcPr>
            <w:tcW w:w="9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1"/>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Operating, Investing, and Financing Activities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We held $709 million and $645 million in cash and cash equivalents as of December 31, 2023 and 2022, respectively.</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decreased $492 million during the year ended December 31, 2023 compared to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2022, primarily due to a negative change in working capital and an increase in cash paid for interest and taxes, partly offset by an increase in Adjusted EBITDA and the payment of litigation settlements in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for the years ended December 31, 2023 and 2022 was $11.1 billion and $9.1 billion, respectively.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used was primarily due to an increase in capital expenditures and changes in accrued expenses related to capital expenditures.</w:t>
      </w:r>
    </w:p>
    <w:p>
      <w:pPr>
        <w:spacing w:after="0" w:line="2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decreased $2.5 billion during the year ended December 31, 2023 compared to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2022 primarily due to a decrease in the purchase of treasury stock and noncontrolling interest partly offset by a decrease in the amount by which borrowings of long-term debt exceeded repayments.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significant ongoing capital expenditure requirements. Capital expenditures were $11.1 billion and $9.4 billion for the years ended December 31, 2023 and 2022, respectively. The increase was primarily due to an increase in line extensions in connection with our subsidized rural construction initiative and continued residential and commercial network expansion. The increase in capital expenditures excluding line extensions was primarily driven by higher spend on network evolution, support capital and customer premise equipment, particularly Xumo. See the table below for more details.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expect full year 2024 capital expenditures to total between $12.2 billion and $12.4 billion, including line extensions of approximately $4.5 billion and network evolution spend of approximately $1.6 billion. The actual amount of capital expenditures in 2024 will depend on a number of factors including, but not limited to, the pace of our network evolution and expansion initiatives, supply chain timing and growth rates in our residential and commercial businesses.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are funded primarily from cash flows from operating activities and borrowings on our credit facility. In addition, our accrued liabilities related to capital expenditures increased $172 million and $553 million for the years ended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major capital expenditures categories in accordance with National Cable and Telecommunications Association (“NCTA”) disclosure guidelines for the years ended December 31, 2023 and 2022. These disclosure guidelines are not required disclosures under GAAP, nor do they impact our accounting for capital expenditures under GAAP (dollars in millions):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r>
      <w:tr>
        <w:trPr>
          <w:trHeight w:val="223"/>
        </w:trPr>
        <w:tc>
          <w:tcPr>
            <w:tcW w:w="804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Customer premise equipment </w:t>
            </w:r>
            <w:r>
              <w:rPr>
                <w:rFonts w:ascii="Times New Roman" w:cs="Times New Roman" w:eastAsia="Times New Roman" w:hAnsi="Times New Roman"/>
                <w:sz w:val="23"/>
                <w:szCs w:val="23"/>
                <w:color w:val="auto"/>
                <w:vertAlign w:val="superscript"/>
              </w:rPr>
              <w:t>(a)</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r>
      <w:tr>
        <w:trPr>
          <w:trHeight w:val="229"/>
        </w:trPr>
        <w:tc>
          <w:tcPr>
            <w:tcW w:w="804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Scalable infrastructure </w:t>
            </w:r>
            <w:r>
              <w:rPr>
                <w:rFonts w:ascii="Times New Roman" w:cs="Times New Roman" w:eastAsia="Times New Roman" w:hAnsi="Times New Roman"/>
                <w:sz w:val="23"/>
                <w:szCs w:val="23"/>
                <w:color w:val="auto"/>
                <w:vertAlign w:val="superscript"/>
              </w:rPr>
              <w:t>(b)</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29"/>
        </w:trPr>
        <w:tc>
          <w:tcPr>
            <w:tcW w:w="80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Upgrade/rebuild </w:t>
            </w:r>
            <w:r>
              <w:rPr>
                <w:rFonts w:ascii="Times New Roman" w:cs="Times New Roman" w:eastAsia="Times New Roman" w:hAnsi="Times New Roman"/>
                <w:sz w:val="23"/>
                <w:szCs w:val="23"/>
                <w:color w:val="auto"/>
                <w:vertAlign w:val="superscript"/>
              </w:rPr>
              <w:t>(c)</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804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Support capital </w:t>
            </w:r>
            <w:r>
              <w:rPr>
                <w:rFonts w:ascii="Times New Roman" w:cs="Times New Roman" w:eastAsia="Times New Roman" w:hAnsi="Times New Roman"/>
                <w:sz w:val="23"/>
                <w:szCs w:val="23"/>
                <w:color w:val="auto"/>
                <w:vertAlign w:val="superscript"/>
              </w:rPr>
              <w:t>(d)</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excluding line extensions</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r>
      <w:tr>
        <w:trPr>
          <w:trHeight w:val="88"/>
        </w:trPr>
        <w:tc>
          <w:tcPr>
            <w:tcW w:w="8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Subsidized rural construction line extensions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30"/>
        </w:trPr>
        <w:tc>
          <w:tcPr>
            <w:tcW w:w="8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line extensions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23"/>
        </w:trPr>
        <w:tc>
          <w:tcPr>
            <w:tcW w:w="804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line extensions </w:t>
            </w:r>
            <w:r>
              <w:rPr>
                <w:rFonts w:ascii="Times New Roman" w:cs="Times New Roman" w:eastAsia="Times New Roman" w:hAnsi="Times New Roman"/>
                <w:sz w:val="23"/>
                <w:szCs w:val="23"/>
                <w:color w:val="auto"/>
                <w:vertAlign w:val="superscript"/>
              </w:rPr>
              <w:t>(e)</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11,115</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9,376</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15"/>
        </w:trPr>
        <w:tc>
          <w:tcPr>
            <w:tcW w:w="80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which:</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services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80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Subsidized rural construction initiative </w:t>
            </w:r>
            <w:r>
              <w:rPr>
                <w:rFonts w:ascii="Times New Roman" w:cs="Times New Roman" w:eastAsia="Times New Roman" w:hAnsi="Times New Roman"/>
                <w:sz w:val="23"/>
                <w:szCs w:val="23"/>
                <w:color w:val="auto"/>
                <w:vertAlign w:val="superscript"/>
              </w:rPr>
              <w:t>(f)</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2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Mobile</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bl>
    <w:p>
      <w:pPr>
        <w:spacing w:after="0" w:line="319" w:lineRule="exact"/>
        <w:rPr>
          <w:sz w:val="20"/>
          <w:szCs w:val="20"/>
          <w:color w:val="auto"/>
        </w:rPr>
      </w:pPr>
    </w:p>
    <w:p>
      <w:pPr>
        <w:ind w:left="340" w:hanging="332"/>
        <w:spacing w:after="0" w:line="229" w:lineRule="auto"/>
        <w:tabs>
          <w:tab w:leader="none" w:pos="335"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Customer premise equipment includes equipment and devices located at the customer's premise used to deliver our Internet, video and voice services (e.g., modems, routers and set-top boxes), as well as installation costs.</w:t>
      </w:r>
    </w:p>
    <w:p>
      <w:pPr>
        <w:ind w:left="340" w:hanging="332"/>
        <w:spacing w:after="0" w:line="219"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Scalable infrastructure includes costs, not related to customer premise equipment or our network, to secure growth of new customers or provide service enhancements (e.g., headend equipment).</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35"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Upgrade/rebuild includes costs to modify or replace existing fiber/coaxial cable networks, including our network evolution initiative which started in 2022.</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Support capital includes costs associated with the replacement or enhancement of non-network assets (e.g., back-office systems, non-network equipment, land and buildings, vehicles, tools and test equipment).</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35"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Line extensions include network costs associated with entering new service areas (e.g., fiber/coaxial cable, amplifiers, electronic equipment, make-ready and design engineering).</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35"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subsidized rural construction initiative subcategory includes projects for which we are receiving subsidies from federal, state and local governments (for which separate reporting was initiated in 2022), excluding customer premise equipment and installation.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accreted value of our total debt was approximately $97.8 billion, as summarized below (dollars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CCO Holdings, LLC:</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15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Accreted Value </w:t>
            </w:r>
            <w:r>
              <w:rPr>
                <w:rFonts w:ascii="Times New Roman" w:cs="Times New Roman" w:eastAsia="Times New Roman" w:hAnsi="Times New Roman"/>
                <w:sz w:val="23"/>
                <w:szCs w:val="23"/>
                <w:b w:val="1"/>
                <w:bCs w:val="1"/>
                <w:color w:val="auto"/>
                <w:vertAlign w:val="superscript"/>
              </w:rPr>
              <w:t>(a)</w:t>
            </w:r>
          </w:p>
        </w:tc>
        <w:tc>
          <w:tcPr>
            <w:tcW w:w="120" w:type="dxa"/>
            <w:vAlign w:val="bottom"/>
          </w:tcPr>
          <w:p>
            <w:pPr>
              <w:spacing w:after="0"/>
              <w:rPr>
                <w:sz w:val="19"/>
                <w:szCs w:val="19"/>
                <w:color w:val="auto"/>
              </w:rPr>
            </w:pP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1440" w:type="dxa"/>
            <w:vAlign w:val="bottom"/>
          </w:tcPr>
          <w:p>
            <w:pPr>
              <w:jc w:val="right"/>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23"/>
                <w:szCs w:val="23"/>
                <w:b w:val="1"/>
                <w:bCs w:val="1"/>
                <w:color w:val="auto"/>
                <w:vertAlign w:val="superscript"/>
              </w:rPr>
              <w:t>(b)</w:t>
            </w: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5.500% senior notes due 2026</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&amp; 11/1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5/1/2026</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5.125% senior notes due 2027</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&amp; 11/1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5/1/2027</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5.000% senior notes due 2028</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&amp; 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2/1/2028</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5.375% senior notes due 2029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&amp; 12/1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6/1/2029</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6.375% senior notes due 2029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&amp; 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9/1/2029</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4.750% senior notes due 2030</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&amp; 9/1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3/1/2030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senior notes due 2030</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&amp; 8/15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8/15/2030</w:t>
            </w:r>
          </w:p>
        </w:tc>
        <w:tc>
          <w:tcPr>
            <w:tcW w:w="0" w:type="dxa"/>
            <w:vAlign w:val="bottom"/>
          </w:tcPr>
          <w:p>
            <w:pPr>
              <w:spacing w:after="0"/>
              <w:rPr>
                <w:sz w:val="1"/>
                <w:szCs w:val="1"/>
                <w:color w:val="auto"/>
              </w:rPr>
            </w:pPr>
          </w:p>
        </w:tc>
      </w:tr>
      <w:tr>
        <w:trPr>
          <w:trHeight w:val="234"/>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4.250% senior notes due 2031</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&amp; 8/1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2/1/2031</w:t>
            </w:r>
          </w:p>
        </w:tc>
        <w:tc>
          <w:tcPr>
            <w:tcW w:w="0" w:type="dxa"/>
            <w:vAlign w:val="bottom"/>
          </w:tcPr>
          <w:p>
            <w:pPr>
              <w:spacing w:after="0"/>
              <w:rPr>
                <w:sz w:val="1"/>
                <w:szCs w:val="1"/>
                <w:color w:val="auto"/>
              </w:rPr>
            </w:pPr>
          </w:p>
        </w:tc>
      </w:tr>
      <w:tr>
        <w:trPr>
          <w:trHeight w:val="886"/>
        </w:trPr>
        <w:tc>
          <w:tcPr>
            <w:tcW w:w="4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7.375% senior notes due 2031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3/1/2031</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4.750% senior notes due 2032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 &amp; 8/1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2/1/2032</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senior notes due 2032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 &amp; 11/1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5/1/2032</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4.500% senior notes due 2033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6/1/2033</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4.250% senior notes due 2034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 &amp; 7/15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1/15/2034</w:t>
            </w:r>
          </w:p>
        </w:tc>
      </w:tr>
      <w:tr>
        <w:trPr>
          <w:trHeight w:val="229"/>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Communications Operating, LLC:</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floating rate notes due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 5/1, 8/1 &amp; 11/1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2/1/2024</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4.500% senior notes due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 &amp; 8/1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2/1/2024</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4.908% senior notes due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1/23 &amp; 7/23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7/23/2025</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6.150% senior notes due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5/10 &amp; 11/10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11/10/2026</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3.750% senior notes due 2028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2/15 &amp; 8/15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2/15/2028</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4.200% senior notes due 2028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3/15 &amp; 9/15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3/15/2028</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2.250% senior notes due 2029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 &amp; 7/15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1/15/2029</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5.050% senior notes due 2029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3/30 &amp; 9/30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3/30/2029</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2.800% senior notes due 2031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4/1/2031</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2.300% senior notes due 2032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 &amp; 8/1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2/1/2032</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4.400% senior notes due 2033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4/1/2033</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6.650% senior notes due 2034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 &amp; 8/1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2/1/2034</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6.384% senior notes due 2035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4/23 &amp; 10/23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10/23/2035</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5.375% senior notes due 2038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4/1/2038</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3.500% senior notes due 2041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6/1/2041</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3.500% senior notes due 2042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3/1/2042</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6.484% senior notes due 2045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4/23 &amp; 10/23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10/23/2045</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5.375% senior notes due 2047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 &amp; 11/1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5/1/2047</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5.750% senior notes due 2048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4/1/2048</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5.125% senior notes due 2049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 &amp; 7/1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7/1/2049</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4.800% senior notes due 2050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3/1/2050</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3.700% senior notes due 2051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4/1/2051</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3.900% senior notes due 2052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6/1/2052</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5.250% senior notes due 2053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4/1/2053</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6.834% senior notes due 2055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4/23 &amp; 10/23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10/23/2055</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3.850% senior notes due 2061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4/1/2061</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4.400% senior notes due 2061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12/1/2061</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3.950% senior notes due 2062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6/30 &amp; 12/30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6/30/2062</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5.500% senior notes due 2063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4/1/2063</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Credit facilities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12,359</w:t>
            </w:r>
          </w:p>
        </w:tc>
        <w:tc>
          <w:tcPr>
            <w:tcW w:w="2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Varies</w:t>
            </w:r>
          </w:p>
        </w:tc>
      </w:tr>
      <w:tr>
        <w:trPr>
          <w:trHeight w:val="230"/>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Time Warner Cable, LLC:</w:t>
            </w: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00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5.750% sterling senior notes due 2031 </w:t>
            </w:r>
            <w:r>
              <w:rPr>
                <w:rFonts w:ascii="Times New Roman" w:cs="Times New Roman" w:eastAsia="Times New Roman" w:hAnsi="Times New Roman"/>
                <w:sz w:val="23"/>
                <w:szCs w:val="23"/>
                <w:color w:val="auto"/>
                <w:vertAlign w:val="superscript"/>
              </w:rPr>
              <w:t>(c)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6/2/2031</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6.550% senior debentures due 2037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 &amp; 11/1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5/1/2037</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7.300% senior debentures due 2038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 &amp; 7/1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7/1/2038</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6.750% senior debentures due 2039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6/15 &amp; 12/15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6/15/2039</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5.875% senior debentures due 2040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5/15 &amp; 11/15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11/15/2040</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5.500% senior debentures due 2041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9/1/2041</w:t>
            </w:r>
          </w:p>
        </w:tc>
      </w:tr>
      <w:tr>
        <w:trPr>
          <w:trHeight w:val="229"/>
        </w:trPr>
        <w:tc>
          <w:tcPr>
            <w:tcW w:w="500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5.250% sterling senior notes due 2042 </w:t>
            </w:r>
            <w:r>
              <w:rPr>
                <w:rFonts w:ascii="Times New Roman" w:cs="Times New Roman" w:eastAsia="Times New Roman" w:hAnsi="Times New Roman"/>
                <w:sz w:val="23"/>
                <w:szCs w:val="23"/>
                <w:color w:val="auto"/>
                <w:vertAlign w:val="superscript"/>
              </w:rPr>
              <w:t>(d)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7/15/2042</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senior debentures due 2042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3/15 &amp; 9/15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9/15/2042</w:t>
            </w: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Time Warner Cable Enterprises LLC:</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8.375% senior debentures due 2033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 &amp; 7/15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7/15/2033</w:t>
            </w:r>
          </w:p>
        </w:tc>
      </w:tr>
      <w:tr>
        <w:trPr>
          <w:trHeight w:val="223"/>
        </w:trPr>
        <w:tc>
          <w:tcPr>
            <w:tcW w:w="44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97,588</w:t>
            </w: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97,777</w:t>
            </w: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
        </w:trPr>
        <w:tc>
          <w:tcPr>
            <w:tcW w:w="4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41" w:lineRule="auto"/>
        <w:tabs>
          <w:tab w:leader="none" w:pos="335"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accreted values presented in the table above represent the principal amount of the debt adjusted for original issue discount or premium at the time of sale, deferred financing costs, and, in regards to debt assumed in acquisitions, fair value premium adjustments as a result of applying acquisition accounting plus the accretion of those amounts to the balance sheet date. However, the amount that is currently payable if the debt becomes immediately due is equal to the principal amount of the debt. In regards to the Sterling Notes, the principal amount of the debt and any premium or discount is remeasured</w:t>
      </w:r>
    </w:p>
    <w:p>
      <w:pPr>
        <w:sectPr>
          <w:pgSz w:w="11900" w:h="16838" w:orient="portrait"/>
          <w:cols w:equalWidth="0" w:num="1">
            <w:col w:w="11240"/>
          </w:cols>
          <w:pgMar w:left="320" w:top="977"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type w:val="continuous"/>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color w:val="auto"/>
        </w:rPr>
        <w:t>into US dollars as of each balance sheet date. We had availability under our credit facilities of approximately $5.2 billion as of December 31, 2023.</w:t>
      </w:r>
    </w:p>
    <w:p>
      <w:pPr>
        <w:spacing w:after="0" w:line="18" w:lineRule="exact"/>
        <w:rPr>
          <w:sz w:val="20"/>
          <w:szCs w:val="20"/>
          <w:color w:val="auto"/>
        </w:rPr>
      </w:pPr>
    </w:p>
    <w:p>
      <w:pPr>
        <w:jc w:val="both"/>
        <w:ind w:left="340" w:right="20" w:hanging="332"/>
        <w:spacing w:after="0" w:line="232" w:lineRule="auto"/>
        <w:tabs>
          <w:tab w:leader="none" w:pos="32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general, the obligors have the right to redeem all of the notes set forth in the above table in whole or in part at their option, beginning at various times prior to their stated maturity dates, subject to certain conditions, upon the payment of the outstanding principal amount (plus a specified redemption premium) and all accrued and unpaid interest.</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amount includes £625 million valued at $797 million as of December 31, 2023 using the exchange rate as of December 31, 2023.</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amount includes £650 million valued at $828 million as of December 31, 2023 using the exchange rate as of December 31, 2023.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CCO Holdings and CCO Holdings Capital Corp. jointly issued $1.1 billion aggregate principal amount of senior unsecured notes and Charter Operating and Charter Communications Operating Capital Corp. jointly issued $2.0 billion aggregate principal amount of senior secured notes. The notes were issued at varying rates, prices and maturity dates and the net proceeds were used to pay related fees and expenses and for general corporate purposes, including funding buybacks of Charter Class A common stock and Charter Holdings common units as well as repaying certain indebtedness.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Charter Operating entered into amendments to its credit agreement to (i) replace London Interbank Offering Rate (“LIBOR”) as the benchmark rate applicable to the credit facilities with Secured Overnight Financing Rate (“SOFR”), (ii) incur a new Term B-3 Loan and a new Term B-4 Loan; and</w:t>
      </w:r>
    </w:p>
    <w:p>
      <w:pPr>
        <w:ind w:firstLine="8"/>
        <w:spacing w:after="0" w:line="260" w:lineRule="auto"/>
        <w:tabs>
          <w:tab w:leader="none" w:pos="3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cancel certain of Charter Operating's existing Term B-1 Loan (upon assignment to Charter Operating and conversion into Term B-4 Loan) and Term B-2 Loan (upon assignment to Charter Operating), among other amendments.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Note 8 to the accompanying consolidated financial statements contained in “Part II. Item 8. Financial Statements and Supplementary Data” for further details regarding our outstanding debt and other financing arrangements, including certain information about maturities, covenants and restrictions related to such debt and financing arrangements. The agreements and instruments governing our debt and financing arrangements are complicated and you should consult such agreements and instruments which are filed with the SEC for more detailed information.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2023, Charter Operating had a consolidated leverage ratio of approximately 3.0 to 1.0 and a consolidated first lien leverage ratio of 3.0 to 1.0. Both ratios are in compliance with the ratios required by the Charter Operating credit facilities of 5.0 to 1.0 consolidated leverage ratio and 4.0 to 1.0 consolidated first lien leverage ratio. A failure by Charter Operating to maintain the financial covenants would result in an event of default under the Charter Operating credit facilities and the debt of CCO Holdings. See “Part I. Item 1A. Risk Factors — The agreements and instruments governing our debt contain restrictions and limitations that could significantly affect our ability to operate our business, as well as significantly affect our liquidity.”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22 to the accompanying consolidated financial statements contained in “Part II. Item 8. Financial Statements and Supplementary Data” for a discussion of recently issued accounting standards.</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Cross-currency derivative instruments are used to manage foreign exchange risk on the Sterling Notes by effectively converting £1.275 billion aggregate principal amount of fixed-rate British pound sterling denominated debt, including annual interest payments and the payment of principal at maturity, to fixed-rate U.S. dollar denominated debt. The fair value of our cross-currency derivatives included in other long-term liabilities on our consolidated balance sheets was $440 million and $570 million as of December 31, 2023 and 2022, respectively. For more information, see Note 11 to the accompanying consolidated financial statements contained in “Part II. Item 8. Financial Statements and Supplementary Data.”</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weighted average interest rate on the credit facility debt was approximately 7.0% and 5.9%, respectively, and the weighted average interest rate on the senior notes was approximately 5.0% and 5.0%, respectively, resulting in a blended weighted average interest rate of 5.3% and 5.1%, respectively. The interest rate on approximately 86% and 85% of the total principal amount of our debt was fixed as of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The table set forth below summarizes the fair values and contract terms of financial instruments subject to interest rate risk maintained by us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(dollars in millions):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9"/>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1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3,250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4,750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68,825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84,275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74,592</w:t>
            </w:r>
          </w:p>
        </w:tc>
      </w:tr>
      <w:tr>
        <w:trPr>
          <w:trHeight w:val="213"/>
        </w:trPr>
        <w:tc>
          <w:tcPr>
            <w:tcW w:w="2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Average Interest Rate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51"/>
        </w:trPr>
        <w:tc>
          <w:tcPr>
            <w:tcW w:w="2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1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Rate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7,939</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2,607</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13,313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13,137</w:t>
            </w:r>
          </w:p>
        </w:tc>
      </w:tr>
      <w:tr>
        <w:trPr>
          <w:trHeight w:val="219"/>
        </w:trPr>
        <w:tc>
          <w:tcPr>
            <w:tcW w:w="2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Average Interest Rate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4.74 %</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rates on variable-rate debt are estimated using the average implied forward SOFR for the year of maturity based on the yield curve in effect at December 31, 2023 including applicable bank spread.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the related notes thereto, and the reports of independent registered public accounting firm are included in this annual report beginning on page F-1.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under the supervision and with the participation of our management, including our Chief Executive Officer and Chief Financial Officer, we have evaluated the effectiveness of the design and operation of disclosure controls and procedures with respect to the information generated for use in this annual report. The evaluation was based upon reports and certifications provided by a number of executives. Based on, and as of the date of that evaluation, our Chief Executive Officer and Chief Financial Officer concluded that the disclosure controls and procedures were effective to provide reasonable assurances that information required to be disclosed in the reports we file or submit under the Securities Exchange Act of 1934 is recorded, processed, summarized and reported within the time periods specified in the SEC’s rules and forms.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our management recognized that any controls and procedures, no matter how well designed and operated, can provide only reasonable, not absolute, assurance of achieving the desired control objectives, and management necessarily was required to apply its judgment in evaluating the cost-benefit relationship of possible controls and procedures. Based upon the above evaluation, we believe that our controls provide such reasonable assurances.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2023, there was no change in our internal control over financial reporting that has materially affected, or is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for the Company. Our internal control system was designed to provide reasonable assurance to our management and Board of Directors regarding the preparation and fair presentation of published financial statements.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has assessed the effectiveness of our internal control over financial reporting as of December 31, 2023. In making this assessment, we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Based on management’s assessment utilizing these criteria we believe that, as of December 31, 2023, our internal control over financial reporting was effective</w:t>
      </w: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Our independent auditors, KPMG LLP, have audited our internal control over financial reporting as stated in their report as follows.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on Internal Control Over Financial Reporting</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Charter Communications, Inc. and subsidiaries' (the Company) internal control over financial reporting as of December 31, 2023,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December 31, 2022, the related consolidated statements of operations, changes in shareholders’ equity, and cash flows for each of the years in the three-year period ended December 31, 2023, and the related notes (collectively, the consolidated financial statements), and our report dated February 1, 2024 expressed an unqualified opinion on those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and Limitations of Internal Control Over Financial Reporting</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2024</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will be included in the Proxy Statement under the headings “Proposal No. 1: Election of Directors,” “Delinquent Section 16(a) Reports” and “Code of Ethics” or in an amendment to this Annual Report on Form 10-K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Item 11 will be included in the Proxy Statement under the headings “Compensation Discussion and Analysis,” “Proposal No.</w:t>
      </w:r>
    </w:p>
    <w:p>
      <w:pPr>
        <w:spacing w:after="0" w:line="27" w:lineRule="exact"/>
        <w:rPr>
          <w:sz w:val="20"/>
          <w:szCs w:val="20"/>
          <w:color w:val="auto"/>
        </w:rPr>
      </w:pPr>
    </w:p>
    <w:p>
      <w:pPr>
        <w:jc w:val="both"/>
        <w:ind w:firstLine="8"/>
        <w:spacing w:after="0" w:line="253" w:lineRule="auto"/>
        <w:tabs>
          <w:tab w:leader="none" w:pos="18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 2023 Director Compensation,” “Compensation Committee Interlocks and Insider Participation” and “Report of the Compensation and Benefits Committee” or in an amendment to this Annual Report on Form 10-K and is incorporated herein by reference. Information contained in the Proxy Statement or an amendment to this Annual Report on Form 10-K under the caption “Report of the Compensation and Benefits Committee” is furnished and not deemed filed with the SEC.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will be included in the Proxy Statement under the heading “Certain Beneficial Owners of Charter Class A Common Stock” or in an amendment to this Annual Report on Form 10-K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be included in the Proxy Statement under the headings “Certain Relationships and Related Transactions” and “Proposal No. 1: Election of Directors” or in an amendment to this Annual Report on Form 10-K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will be included in the Proxy Statement under the heading “Accounting Matters” or in an amendment to this Annual Report on Form 10-K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56" w:lineRule="exact"/>
        <w:rPr>
          <w:sz w:val="20"/>
          <w:szCs w:val="20"/>
          <w:color w:val="auto"/>
        </w:rPr>
      </w:pPr>
    </w:p>
    <w:p>
      <w:pPr>
        <w:ind w:left="700" w:hanging="368"/>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25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5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A listing of the financial statements, notes and reports of independent public accountants required by "Part II. Item 8. Financial Statements and Supplementary Data" begins on page F-1 of this annual report.</w:t>
      </w:r>
    </w:p>
    <w:p>
      <w:pPr>
        <w:spacing w:after="0" w:line="189" w:lineRule="exact"/>
        <w:rPr>
          <w:sz w:val="20"/>
          <w:szCs w:val="20"/>
          <w:color w:val="auto"/>
        </w:rPr>
      </w:pPr>
    </w:p>
    <w:p>
      <w:pPr>
        <w:ind w:left="1040" w:hanging="384"/>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5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are required to be filed by Items 8 and 15(c) because they are not required or are not applicable, or the required information is set forth in the applicable financial statements or notes thereto.</w:t>
      </w:r>
    </w:p>
    <w:p>
      <w:pPr>
        <w:spacing w:after="0" w:line="189"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The index to the exhibits begins on page E-1 of this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Charter Communications, Inc. has duly caused this annual report to be signed on its behalf by the undersigned, thereunto duly authorized.</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49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 Winfrey</w:t>
            </w:r>
          </w:p>
        </w:tc>
      </w:tr>
      <w:tr>
        <w:trPr>
          <w:trHeight w:val="218"/>
        </w:trPr>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 Winfrey</w:t>
            </w:r>
          </w:p>
        </w:tc>
      </w:tr>
      <w:tr>
        <w:trPr>
          <w:trHeight w:val="234"/>
        </w:trPr>
        <w:tc>
          <w:tcPr>
            <w:tcW w:w="6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ind w:left="40"/>
        <w:spacing w:after="0"/>
        <w:rPr>
          <w:sz w:val="20"/>
          <w:szCs w:val="20"/>
          <w:color w:val="auto"/>
        </w:rPr>
      </w:pPr>
      <w:r>
        <w:rPr>
          <w:rFonts w:ascii="Times New Roman" w:cs="Times New Roman" w:eastAsia="Times New Roman" w:hAnsi="Times New Roman"/>
          <w:sz w:val="18"/>
          <w:szCs w:val="18"/>
          <w:color w:val="auto"/>
        </w:rPr>
        <w:t>Date: February 2, 2024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Jamal H. Haughton and Kevin D. Howard, and each of them (with full power to each of them to act alone), his or her true and lawful attorney-in-fact and agent, with full power of substitution and resubstitution, for him or her and in his or her name, place and stead, in any and all capacities, to sign on his or her behalf individually and in each capacity stated below any and all amendments (including post-effective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and either of them, or their substitutes, may lawfully do or cause to be done by virtue hereof.</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Charter Communications, Inc. and in the capacities and on the dates indicated.</w:t>
      </w:r>
    </w:p>
    <w:tbl>
      <w:tblPr>
        <w:tblLayout w:type="fixed"/>
        <w:tblInd w:w="0" w:type="dxa"/>
        <w:tblCellMar>
          <w:top w:w="0" w:type="dxa"/>
          <w:left w:w="0" w:type="dxa"/>
          <w:bottom w:w="0" w:type="dxa"/>
          <w:right w:w="0" w:type="dxa"/>
        </w:tblCellMar>
      </w:tblPr>
      <w:tr>
        <w:trPr>
          <w:trHeight w:val="199"/>
        </w:trPr>
        <w:tc>
          <w:tcPr>
            <w:tcW w:w="1880" w:type="dxa"/>
            <w:vAlign w:val="bottom"/>
          </w:tcPr>
          <w:p>
            <w:pPr>
              <w:spacing w:after="0"/>
              <w:rPr>
                <w:sz w:val="17"/>
                <w:szCs w:val="17"/>
                <w:color w:val="auto"/>
              </w:rPr>
            </w:pPr>
          </w:p>
        </w:tc>
        <w:tc>
          <w:tcPr>
            <w:tcW w:w="76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8"/>
              </w:rPr>
              <w:t>Signature</w:t>
            </w:r>
          </w:p>
        </w:tc>
        <w:tc>
          <w:tcPr>
            <w:tcW w:w="1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2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Title</w:t>
            </w:r>
          </w:p>
        </w:tc>
        <w:tc>
          <w:tcPr>
            <w:tcW w:w="1140" w:type="dxa"/>
            <w:vAlign w:val="bottom"/>
          </w:tcPr>
          <w:p>
            <w:pPr>
              <w:spacing w:after="0"/>
              <w:rPr>
                <w:sz w:val="17"/>
                <w:szCs w:val="17"/>
                <w:color w:val="auto"/>
              </w:rPr>
            </w:pPr>
          </w:p>
        </w:tc>
        <w:tc>
          <w:tcPr>
            <w:tcW w:w="1100" w:type="dxa"/>
            <w:vAlign w:val="bottom"/>
            <w:gridSpan w:val="2"/>
          </w:tcPr>
          <w:p>
            <w:pPr>
              <w:jc w:val="center"/>
              <w:ind w:right="740"/>
              <w:spacing w:after="0" w:line="199" w:lineRule="exact"/>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44"/>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Christopher L. Winfrey</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Christopher L. Winfrey</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Jessica M. Fischer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Jessica M. Fischer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and Controller (Principal Accounting Officer)</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Eric L. Zinterhofer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Non-Executive Chairman of the Board (Director)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Eric L. Zinterhofer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W. Lance Conn</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 Lance Conn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Kim C. Goodman</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Kim C. Goodman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Craig A. Jacobson</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Craig A. Jacobson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Gregory Maffei</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Gregory Maffei</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John D. Markley, Jr.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John D. Markley, Jr.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David C. Merritt</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C. Merritt</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James E. Meyer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James E. Meyer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Steve Miron</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Steve Miron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Balan Nair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 Nair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Michael Newhouse</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Newhouse</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Mauricio Ramos</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Mauricio Ramos</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657"/>
        </w:trPr>
        <w:tc>
          <w:tcPr>
            <w:tcW w:w="1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S-2</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8"/>
        </w:trPr>
        <w:tc>
          <w:tcPr>
            <w:tcW w:w="1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are listed by numbers corresponding to the Exhibit Table of Item 601 in Regulation S-K.</w:t>
      </w:r>
    </w:p>
    <w:p>
      <w:pPr>
        <w:spacing w:after="0" w:line="4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Agreement and Plan of Mergers, dated as of May 23, 2015, among Time Warner Cable Inc., Charter Communications, Inc., CCH I, LLC,</w:t>
              </w:r>
            </w:hyperlink>
          </w:p>
        </w:tc>
      </w:tr>
      <w:tr>
        <w:trPr>
          <w:trHeight w:val="155"/>
        </w:trPr>
        <w:tc>
          <w:tcPr>
            <w:tcW w:w="1260" w:type="dxa"/>
            <w:vAlign w:val="bottom"/>
          </w:tcPr>
          <w:p>
            <w:pPr>
              <w:spacing w:after="0"/>
              <w:rPr>
                <w:sz w:val="13"/>
                <w:szCs w:val="13"/>
                <w:color w:val="auto"/>
              </w:rPr>
            </w:pPr>
          </w:p>
        </w:tc>
        <w:tc>
          <w:tcPr>
            <w:tcW w:w="102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Nina Corporation I, Inc., Nina Company II, LLC and Nina Company III, LLC (incorporated by reference to Exhibit 2.1 to the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Report on Form 8-K filed by Charter Communications, Inc. on May 29, 2015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Contribution Agreement, dated March 31, 2015, by and among Advance/Newhouse Partnership, A/NPC Holdings LLC, Charter</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Communications, Inc., CCH I, LLC, and Charter Communications Holding Company, LLC (incorporated by reference to Exhibit 2.1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20" w:type="dxa"/>
            <w:vAlign w:val="bottom"/>
            <w:gridSpan w:val="28"/>
          </w:tcPr>
          <w:p>
            <w:pPr>
              <w:spacing w:after="0" w:line="16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the Current Report on Form 8-K filed by Charter Communications, Inc. on April 1, 2015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Amended and Restated Certificate of Incorporation of Charter Communications, Inc. (incorporated by reference to Exhibit 3.1 to the</w:t>
              </w:r>
            </w:hyperlink>
          </w:p>
        </w:tc>
      </w:tr>
      <w:tr>
        <w:trPr>
          <w:trHeight w:val="156"/>
        </w:trPr>
        <w:tc>
          <w:tcPr>
            <w:tcW w:w="1260" w:type="dxa"/>
            <w:vAlign w:val="bottom"/>
          </w:tcPr>
          <w:p>
            <w:pPr>
              <w:spacing w:after="0"/>
              <w:rPr>
                <w:sz w:val="13"/>
                <w:szCs w:val="13"/>
                <w:color w:val="auto"/>
              </w:rPr>
            </w:pPr>
          </w:p>
        </w:tc>
        <w:tc>
          <w:tcPr>
            <w:tcW w:w="78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Current Report on Form 8-K filed by Charter Communications, Inc. on May 19, 2016 (File No. 001-33664)).</w:t>
              </w:r>
            </w:hyperlink>
          </w:p>
        </w:tc>
        <w:tc>
          <w:tcPr>
            <w:tcW w:w="22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Amended and Restated By-laws of Charter Communications, Inc. as of October 24, 2023 (incorporated by reference to Exhibit 3.1 to the</w:t>
              </w:r>
            </w:hyperlink>
          </w:p>
        </w:tc>
      </w:tr>
      <w:tr>
        <w:trPr>
          <w:trHeight w:val="156"/>
        </w:trPr>
        <w:tc>
          <w:tcPr>
            <w:tcW w:w="1260" w:type="dxa"/>
            <w:vAlign w:val="bottom"/>
          </w:tcPr>
          <w:p>
            <w:pPr>
              <w:spacing w:after="0"/>
              <w:rPr>
                <w:sz w:val="13"/>
                <w:szCs w:val="13"/>
                <w:color w:val="auto"/>
              </w:rPr>
            </w:pPr>
          </w:p>
        </w:tc>
        <w:tc>
          <w:tcPr>
            <w:tcW w:w="83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Quarterly Report on Form 10-Q filed by Charter Communications, Inc. on October 27, 2023 (File No. 001-33664)).</w:t>
              </w:r>
            </w:hyperlink>
          </w:p>
        </w:tc>
        <w:tc>
          <w:tcPr>
            <w:tcW w:w="17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4.1(a)</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Amended and Restated Stockholders Agreement, dated March 31, 2015, by and among Charter Communications, Inc., Liberty Broadband</w:t>
              </w:r>
            </w:hyperlink>
          </w:p>
        </w:tc>
      </w:tr>
      <w:tr>
        <w:trPr>
          <w:trHeight w:val="155"/>
        </w:trPr>
        <w:tc>
          <w:tcPr>
            <w:tcW w:w="1260" w:type="dxa"/>
            <w:vAlign w:val="bottom"/>
          </w:tcPr>
          <w:p>
            <w:pPr>
              <w:spacing w:after="0"/>
              <w:rPr>
                <w:sz w:val="13"/>
                <w:szCs w:val="13"/>
                <w:color w:val="auto"/>
              </w:rPr>
            </w:pPr>
          </w:p>
        </w:tc>
        <w:tc>
          <w:tcPr>
            <w:tcW w:w="103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Corporation and Advance/Newhouse Partnership (incorporated by reference to Exhibit 4.1 to the Current Report on Form 8-K filed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Charter Communications, Inc. on April 1, 2015 (File No. 001-33664)).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4.1(b)</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Second Amended and Restated Stockholders Agreement, dated May 23, 2015, by and among Charter Communications, Inc., CCH I,</w:t>
              </w:r>
            </w:hyperlink>
          </w:p>
        </w:tc>
      </w:tr>
      <w:tr>
        <w:trPr>
          <w:trHeight w:val="156"/>
        </w:trPr>
        <w:tc>
          <w:tcPr>
            <w:tcW w:w="1260" w:type="dxa"/>
            <w:vAlign w:val="bottom"/>
          </w:tcPr>
          <w:p>
            <w:pPr>
              <w:spacing w:after="0"/>
              <w:rPr>
                <w:sz w:val="13"/>
                <w:szCs w:val="13"/>
                <w:color w:val="auto"/>
              </w:rPr>
            </w:pPr>
          </w:p>
        </w:tc>
        <w:tc>
          <w:tcPr>
            <w:tcW w:w="101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LLC, Liberty Broadband Corporation and Advance/Newhouse Partnership (incorporated by reference to Annex C to the registration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62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statement on Form S-4 filed by CCH I, LLC on June 26, 2015 (File No. 333-205240)).</w:t>
              </w:r>
            </w:hyperlink>
          </w:p>
        </w:tc>
        <w:tc>
          <w:tcPr>
            <w:tcW w:w="374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Indenture dated as of November 5, 2014, by and among CCO Holdings, LLC, CCO Holdings Capital Corp. and CCOH Safari, LLC, as</w:t>
              </w:r>
            </w:hyperlink>
          </w:p>
        </w:tc>
      </w:tr>
      <w:tr>
        <w:trPr>
          <w:trHeight w:val="156"/>
        </w:trPr>
        <w:tc>
          <w:tcPr>
            <w:tcW w:w="1260" w:type="dxa"/>
            <w:vAlign w:val="bottom"/>
          </w:tcPr>
          <w:p>
            <w:pPr>
              <w:spacing w:after="0"/>
              <w:rPr>
                <w:sz w:val="13"/>
                <w:szCs w:val="13"/>
                <w:color w:val="auto"/>
              </w:rPr>
            </w:pPr>
          </w:p>
        </w:tc>
        <w:tc>
          <w:tcPr>
            <w:tcW w:w="102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Issuers, Charter Communications, Inc., as Parent Guarantor, and The Bank of New York Mellon Trust Company, N.A., as Trustee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(incorporated by reference to Exhibit 4.1 to the Current Report on Form 8-K filed by Charter Communications, Inc. on November 10,</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2014 (File No. 001-33664)).</w:t>
              </w:r>
            </w:hyperlink>
          </w:p>
        </w:tc>
        <w:tc>
          <w:tcPr>
            <w:tcW w:w="798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Indenture, dated as of July 23, 2015, among Charter Communications Operating, LLC, Charter Communications Operating Capital Corp.</w:t>
              </w:r>
            </w:hyperlink>
          </w:p>
        </w:tc>
      </w:tr>
      <w:tr>
        <w:trPr>
          <w:trHeight w:val="156"/>
        </w:trPr>
        <w:tc>
          <w:tcPr>
            <w:tcW w:w="12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and CCO Safari II, LLC, as issuers, and The Bank of New York Mellon Trust Company, N.A., as trustee and collateral agent</w:t>
              </w:r>
            </w:hyperlink>
          </w:p>
        </w:tc>
        <w:tc>
          <w:tcPr>
            <w:tcW w:w="80" w:type="dxa"/>
            <w:vAlign w:val="bottom"/>
            <w:tcBorders>
              <w:bottom w:val="single" w:sz="8" w:color="0000FF"/>
            </w:tcBorders>
            <w:gridSpan w:val="4"/>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2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(incorporated by reference to Exhibit 4.1 to the Current Report on Form 8-K filed by Charter Communications, Inc. on July 27, 2015 (File</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340" w:type="dxa"/>
            <w:vAlign w:val="bottom"/>
            <w:gridSpan w:val="34"/>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No. 001-33664)).</w:t>
              </w:r>
            </w:hyperlink>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First Supplemental Indenture, dated as of July 23, 2015, among CCO Safari II, LLC, as escrow issuer, CCH II, LLC, as limited guarantor,</w:t>
              </w:r>
            </w:hyperlink>
          </w:p>
        </w:tc>
      </w:tr>
      <w:tr>
        <w:trPr>
          <w:trHeight w:val="155"/>
        </w:trPr>
        <w:tc>
          <w:tcPr>
            <w:tcW w:w="1260" w:type="dxa"/>
            <w:vAlign w:val="bottom"/>
          </w:tcPr>
          <w:p>
            <w:pPr>
              <w:spacing w:after="0"/>
              <w:rPr>
                <w:sz w:val="13"/>
                <w:szCs w:val="13"/>
                <w:color w:val="auto"/>
              </w:rPr>
            </w:pPr>
          </w:p>
        </w:tc>
        <w:tc>
          <w:tcPr>
            <w:tcW w:w="102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and The Bank of New York Mellon Trust Company, N.A., as trustee and collateral agent (incorporated by reference to Exhibit 4.2 to the</w:t>
              </w:r>
            </w:hyperlink>
          </w:p>
        </w:tc>
        <w:tc>
          <w:tcPr>
            <w:tcW w:w="100" w:type="dxa"/>
            <w:vAlign w:val="bottom"/>
            <w:gridSpan w:val="5"/>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4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Current Report on Form 8-K filed by Charter Communications, Inc. on July 27, 2015 (File No. 001-33664)).</w:t>
              </w:r>
            </w:hyperlink>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Form of 4.908% Senior Secured Notes due 2025 (incorporated by reference to Exhibit 4.5 to the Current Report on Form 8-K filed by</w:t>
              </w:r>
            </w:hyperlink>
          </w:p>
        </w:tc>
      </w:tr>
      <w:tr>
        <w:trPr>
          <w:trHeight w:val="156"/>
        </w:trPr>
        <w:tc>
          <w:tcPr>
            <w:tcW w:w="126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Form of 6.384% Senior Secured Notes due 2035 (incorporated by reference to Exhibit 4.6 to the Current Report on Form 8-K filed by</w:t>
              </w:r>
            </w:hyperlink>
          </w:p>
        </w:tc>
      </w:tr>
      <w:tr>
        <w:trPr>
          <w:trHeight w:val="155"/>
        </w:trPr>
        <w:tc>
          <w:tcPr>
            <w:tcW w:w="126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Form of 6.484% Senior Secured Notes due 2045 (incorporated by reference to Exhibit 4.7 to the Current Report on Form 8-K filed by</w:t>
              </w:r>
            </w:hyperlink>
          </w:p>
        </w:tc>
      </w:tr>
      <w:tr>
        <w:trPr>
          <w:trHeight w:val="156"/>
        </w:trPr>
        <w:tc>
          <w:tcPr>
            <w:tcW w:w="126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Form of 6.834% Senior Secured Notes due 2055 (incorporated by reference to Exhibit 4.8 to the Current Report on Form 8-K filed by</w:t>
              </w:r>
            </w:hyperlink>
          </w:p>
        </w:tc>
      </w:tr>
      <w:tr>
        <w:trPr>
          <w:trHeight w:val="156"/>
        </w:trPr>
        <w:tc>
          <w:tcPr>
            <w:tcW w:w="126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Indenture, dated as of November 20, 2015, among CCO Holdings, LLC, CCO Holdings Capital Corp. and CCOH Safari, LLC, as issuers,</w:t>
              </w:r>
            </w:hyperlink>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and The Bank of New York Mellon Trust Company, N.A., as trustee (incorporated by reference to Exhibit 4.1 to the Current Report on</w:t>
              </w:r>
            </w:hyperlink>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69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Form 8-K filed by Charter Communications, Inc. on November 25, 2015 (File No. 001-33664)).</w:t>
              </w:r>
            </w:hyperlink>
          </w:p>
        </w:tc>
        <w:tc>
          <w:tcPr>
            <w:tcW w:w="320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Seventh Supplemental Indenture, dated as of April 21, 2016, among CCO Holdings, LLC, CCO Holdings Capital Corp., Charter</w:t>
              </w:r>
            </w:hyperlink>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Communications, Inc., as guarantor, and The Bank of New York Mellon Trust Company, N.A., as trustee (incorporated by reference to</w:t>
              </w:r>
            </w:hyperlink>
          </w:p>
        </w:tc>
        <w:tc>
          <w:tcPr>
            <w:tcW w:w="180" w:type="dxa"/>
            <w:vAlign w:val="bottom"/>
            <w:tcBorders>
              <w:bottom w:val="single" w:sz="8" w:color="0000FF"/>
            </w:tcBorders>
            <w:gridSpan w:val="9"/>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40" w:type="dxa"/>
            <w:vAlign w:val="bottom"/>
            <w:gridSpan w:val="29"/>
          </w:tcPr>
          <w:p>
            <w:pPr>
              <w:spacing w:after="0" w:line="16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Exhibit 4.1 to the Current Report on Form 8-K filed by Charter Communications, Inc. on April 27, 2016 (File No. 001-33664)).</w:t>
              </w:r>
            </w:hyperlink>
          </w:p>
        </w:tc>
        <w:tc>
          <w:tcPr>
            <w:tcW w:w="120" w:type="dxa"/>
            <w:vAlign w:val="bottom"/>
            <w:gridSpan w:val="6"/>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6020" w:type="dxa"/>
            <w:vAlign w:val="bottom"/>
            <w:gridSpan w:val="10"/>
            <w:shd w:val="clear" w:color="auto" w:fill="0000FF"/>
          </w:tcPr>
          <w:p>
            <w:pPr>
              <w:spacing w:after="0" w:line="20" w:lineRule="exact"/>
              <w:rPr>
                <w:sz w:val="1"/>
                <w:szCs w:val="1"/>
                <w:color w:val="auto"/>
              </w:rPr>
            </w:pPr>
          </w:p>
        </w:tc>
        <w:tc>
          <w:tcPr>
            <w:tcW w:w="960" w:type="dxa"/>
            <w:vAlign w:val="bottom"/>
            <w:gridSpan w:val="1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0360" w:type="dxa"/>
            <w:vAlign w:val="bottom"/>
            <w:gridSpan w:val="35"/>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Form of 5.500% Senior Notes due 2026 (incorporated herein by reference to Exhibit 4.2 to the Current Report on Form 8-K of Charter</w:t>
              </w:r>
            </w:hyperlink>
          </w:p>
        </w:tc>
      </w:tr>
      <w:tr>
        <w:trPr>
          <w:trHeight w:val="155"/>
        </w:trPr>
        <w:tc>
          <w:tcPr>
            <w:tcW w:w="1260" w:type="dxa"/>
            <w:vAlign w:val="bottom"/>
          </w:tcPr>
          <w:p>
            <w:pPr>
              <w:spacing w:after="0"/>
              <w:rPr>
                <w:sz w:val="13"/>
                <w:szCs w:val="13"/>
                <w:color w:val="auto"/>
              </w:rPr>
            </w:pPr>
          </w:p>
        </w:tc>
        <w:tc>
          <w:tcPr>
            <w:tcW w:w="101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Communications, Inc. filed April 27, 2016).</w:t>
              </w:r>
            </w:hyperlink>
          </w:p>
        </w:tc>
        <w:tc>
          <w:tcPr>
            <w:tcW w:w="200" w:type="dxa"/>
            <w:vAlign w:val="bottom"/>
            <w:gridSpan w:val="10"/>
          </w:tcPr>
          <w:p>
            <w:pPr>
              <w:spacing w:after="0"/>
              <w:rPr>
                <w:sz w:val="13"/>
                <w:szCs w:val="13"/>
                <w:color w:val="auto"/>
              </w:rPr>
            </w:pPr>
          </w:p>
        </w:tc>
      </w:tr>
      <w:tr>
        <w:trPr>
          <w:trHeight w:val="695"/>
        </w:trPr>
        <w:tc>
          <w:tcPr>
            <w:tcW w:w="126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7180" w:type="dxa"/>
            <w:vAlign w:val="bottom"/>
            <w:gridSpan w:val="32"/>
          </w:tcPr>
          <w:p>
            <w:pPr>
              <w:ind w:left="1060"/>
              <w:spacing w:after="0"/>
              <w:rPr>
                <w:sz w:val="20"/>
                <w:szCs w:val="20"/>
                <w:color w:val="auto"/>
              </w:rPr>
            </w:pPr>
            <w:r>
              <w:rPr>
                <w:rFonts w:ascii="Times New Roman" w:cs="Times New Roman" w:eastAsia="Times New Roman" w:hAnsi="Times New Roman"/>
                <w:sz w:val="18"/>
                <w:szCs w:val="18"/>
                <w:color w:val="auto"/>
              </w:rPr>
              <w:t>E-1</w:t>
            </w:r>
          </w:p>
        </w:tc>
      </w:tr>
      <w:tr>
        <w:trPr>
          <w:trHeight w:val="358"/>
        </w:trPr>
        <w:tc>
          <w:tcPr>
            <w:tcW w:w="1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4.12</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Second Supplemental Indenture, dated as of May 18, 2016, by and among Charter Communications Operating, LLC, Charter</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Communications Operating Capital Corp., CCO Safari II, LLC and The Bank of New York Mellon Trust Company, N.A., as trustee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20" w:type="dxa"/>
            <w:vAlign w:val="bottom"/>
            <w:gridSpan w:val="21"/>
          </w:tcPr>
          <w:p>
            <w:pPr>
              <w:spacing w:after="0" w:line="169"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collateral agent (incorporated by reference to Exhibit 4.1 to the Current Report on Form 8-K filed by Charter Communications, Inc.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27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May 24, 2016 (File No. 001-33664)).</w:t>
              </w:r>
            </w:hyperlink>
          </w:p>
        </w:tc>
        <w:tc>
          <w:tcPr>
            <w:tcW w:w="72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4.13</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Third Supplemental Indenture, dated as of May 18, 2016, by and among CCO Holdings, LLC, the subsidiary guarantors party thereto and</w:t>
              </w:r>
            </w:hyperlink>
          </w:p>
        </w:tc>
      </w:tr>
      <w:tr>
        <w:trPr>
          <w:trHeight w:val="155"/>
        </w:trPr>
        <w:tc>
          <w:tcPr>
            <w:tcW w:w="1260" w:type="dxa"/>
            <w:vAlign w:val="bottom"/>
          </w:tcPr>
          <w:p>
            <w:pPr>
              <w:spacing w:after="0"/>
              <w:rPr>
                <w:sz w:val="13"/>
                <w:szCs w:val="13"/>
                <w:color w:val="auto"/>
              </w:rPr>
            </w:pPr>
          </w:p>
        </w:tc>
        <w:tc>
          <w:tcPr>
            <w:tcW w:w="103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The Bank of New York Mellon Trust Company, N.A., as trustee and collateral agent (incorporated by reference to Exhibit 4.2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78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Current Report on Form 8-K filed by Charter Communications, Inc. on May 24, 2016 (File No. 001-33664)).</w:t>
              </w:r>
            </w:hyperlink>
          </w:p>
        </w:tc>
        <w:tc>
          <w:tcPr>
            <w:tcW w:w="234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4.14</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Second Supplemental Indenture, dated as of May 18, 2016, by and among CCO Holdings, LLC, CCO Holdings Capital Corp., CCOH</w:t>
              </w:r>
            </w:hyperlink>
          </w:p>
        </w:tc>
      </w:tr>
      <w:tr>
        <w:trPr>
          <w:trHeight w:val="156"/>
        </w:trPr>
        <w:tc>
          <w:tcPr>
            <w:tcW w:w="126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Safari, LLC and The Bank of New York Mellon Trust Company, N.A., as trustee (incorporated by reference to Exhibit 4.3 to the Current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20" w:type="dxa"/>
            <w:vAlign w:val="bottom"/>
            <w:gridSpan w:val="26"/>
          </w:tcPr>
          <w:p>
            <w:pPr>
              <w:spacing w:after="0" w:line="16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Report on Form 8-K filed by Charter Communications, Inc. on May 24, 2016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4.15</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Fourth  Supplemental  Indenture,  dated  as  of  November  1,  2016,  among  Charter  Communications  Operating,  LLC,  Charter</w:t>
              </w:r>
            </w:hyperlink>
          </w:p>
        </w:tc>
      </w:tr>
      <w:tr>
        <w:trPr>
          <w:trHeight w:val="156"/>
        </w:trPr>
        <w:tc>
          <w:tcPr>
            <w:tcW w:w="126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Communications Operating Capital Corp., as issuers, CCO Holdings, LLC, as parent guarantor, the subsidiary guarantors party thereto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420" w:type="dxa"/>
            <w:vAlign w:val="bottom"/>
            <w:gridSpan w:val="41"/>
          </w:tcPr>
          <w:p>
            <w:pPr>
              <w:spacing w:after="0" w:line="16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and The Bank of New York Mellon Trust Company, N.A., as trustee and collateral agent (incorporated by reference to Exhibit 4.5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1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Registration Statement on Form S-4 filed by CCO Holdings, LLC on October 6, 2017 (File No. 333-220863)).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4.16</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Third Supplemental Indenture, dated as of February 6, 2017, among CCO Holdings, LLC, CCO Holdings Capital Corp., and The Bank of</w:t>
              </w:r>
            </w:hyperlink>
          </w:p>
        </w:tc>
      </w:tr>
      <w:tr>
        <w:trPr>
          <w:trHeight w:val="156"/>
        </w:trPr>
        <w:tc>
          <w:tcPr>
            <w:tcW w:w="1260" w:type="dxa"/>
            <w:vAlign w:val="bottom"/>
          </w:tcPr>
          <w:p>
            <w:pPr>
              <w:spacing w:after="0"/>
              <w:rPr>
                <w:sz w:val="13"/>
                <w:szCs w:val="13"/>
                <w:color w:val="auto"/>
              </w:rPr>
            </w:pPr>
          </w:p>
        </w:tc>
        <w:tc>
          <w:tcPr>
            <w:tcW w:w="10220" w:type="dxa"/>
            <w:vAlign w:val="bottom"/>
            <w:tcBorders>
              <w:top w:val="single" w:sz="8" w:color="0000FF"/>
              <w:bottom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New York Mellon Trust Company, N.A., as trustee (incorporated herein by reference to Exhibit 4.1 to the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980" w:type="dxa"/>
            <w:vAlign w:val="bottom"/>
            <w:tcBorders>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filed by Charter Communications, Inc. on February 6, 2017 (File No. 001-33664)).</w:t>
              </w:r>
            </w:hyperlink>
          </w:p>
        </w:tc>
        <w:tc>
          <w:tcPr>
            <w:tcW w:w="4480" w:type="dxa"/>
            <w:vAlign w:val="bottom"/>
            <w:gridSpan w:val="31"/>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4.17</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5.125% Senior Notes due 2027 (incorporated herein by reference to Exhibit 4.2 to the Current Report on Form 8-K filed by</w:t>
              </w:r>
            </w:hyperlink>
          </w:p>
        </w:tc>
      </w:tr>
      <w:tr>
        <w:trPr>
          <w:trHeight w:val="156"/>
        </w:trPr>
        <w:tc>
          <w:tcPr>
            <w:tcW w:w="126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Charter Communications, Inc. on February 6, 2017 (File No. 001-33664))</w:t>
              </w:r>
            </w:hyperlink>
          </w:p>
        </w:tc>
        <w:tc>
          <w:tcPr>
            <w:tcW w:w="48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4.18</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Fifth Supplemental Indenture, dated as of April 20, 2017,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260" w:type="dxa"/>
            <w:vAlign w:val="bottom"/>
            <w:tcBorders>
              <w:top w:val="single" w:sz="8" w:color="0000FF"/>
              <w:bottom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Operating Capital Corp., the guarantors party thereto and The Bank of New York Mellon Trust Company, N.A., as trustee and collateral</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400" w:type="dxa"/>
            <w:vAlign w:val="bottom"/>
            <w:gridSpan w:val="40"/>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agent (incorporated by reference to Exhibit 4.3 to the Current Report on Form 8-K filed by Charter Communications, Inc. on April 26,</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2017 (File No. 001-33664)).</w:t>
              </w:r>
            </w:hyperlink>
          </w:p>
        </w:tc>
        <w:tc>
          <w:tcPr>
            <w:tcW w:w="8220" w:type="dxa"/>
            <w:vAlign w:val="bottom"/>
            <w:tcBorders>
              <w:top w:val="single" w:sz="8" w:color="0000FF"/>
            </w:tcBorders>
            <w:gridSpan w:val="3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4.19</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of 5.375% Senior Secured Notes due 2047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Charter Communications, Inc. on April 26, 2017 (File No. 001-33664))</w:t>
              </w:r>
            </w:hyperlink>
          </w:p>
        </w:tc>
        <w:tc>
          <w:tcPr>
            <w:tcW w:w="478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4.20</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Sixth Supplemental Indenture, dated as of July 6, 2017,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0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Operating Capital Corp., the guarantors party thereto and The Bank of New York Mellon Trust Company, N.A., as trustee and collateral</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400" w:type="dxa"/>
            <w:vAlign w:val="bottom"/>
            <w:tcBorders>
              <w:top w:val="single" w:sz="8" w:color="0000FF"/>
            </w:tcBorders>
            <w:gridSpan w:val="40"/>
          </w:tcPr>
          <w:p>
            <w:pPr>
              <w:spacing w:after="0" w:line="16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agent (incorporated by reference to Exhibit 4.3 to the Current Report on Form 8-K filed by Charter Communications, Inc. on July 12,</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2017 (File No. 001-33664)).</w:t>
              </w:r>
            </w:hyperlink>
          </w:p>
        </w:tc>
        <w:tc>
          <w:tcPr>
            <w:tcW w:w="8260" w:type="dxa"/>
            <w:vAlign w:val="bottom"/>
            <w:tcBorders>
              <w:top w:val="single" w:sz="8" w:color="0000FF"/>
            </w:tcBorders>
            <w:gridSpan w:val="3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4.21</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3.750% Senior Secured Notes due 2028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Charter Communications, Inc. on July 12, 2017 (File No. 001-33664)).</w:t>
              </w:r>
            </w:hyperlink>
          </w:p>
        </w:tc>
        <w:tc>
          <w:tcPr>
            <w:tcW w:w="4820" w:type="dxa"/>
            <w:vAlign w:val="bottom"/>
            <w:tcBorders>
              <w:top w:val="single" w:sz="8" w:color="0000FF"/>
            </w:tcBorders>
            <w:gridSpan w:val="11"/>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4.22</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Fourth Supplemental Indenture, dated as of August 8, 2017, among CCO Holdings, LLC, CCO Holdings Capital Corp. and The Bank of</w:t>
              </w:r>
            </w:hyperlink>
          </w:p>
        </w:tc>
      </w:tr>
      <w:tr>
        <w:trPr>
          <w:trHeight w:val="155"/>
        </w:trPr>
        <w:tc>
          <w:tcPr>
            <w:tcW w:w="1260" w:type="dxa"/>
            <w:vAlign w:val="bottom"/>
          </w:tcPr>
          <w:p>
            <w:pPr>
              <w:spacing w:after="0"/>
              <w:rPr>
                <w:sz w:val="13"/>
                <w:szCs w:val="13"/>
                <w:color w:val="auto"/>
              </w:rPr>
            </w:pPr>
          </w:p>
        </w:tc>
        <w:tc>
          <w:tcPr>
            <w:tcW w:w="10220" w:type="dxa"/>
            <w:vAlign w:val="bottom"/>
            <w:tcBorders>
              <w:top w:val="single" w:sz="8" w:color="0000FF"/>
              <w:bottom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New York Mellon Trust Company, N.A., as trustee (incorporated by reference to Exhibit 4.1 to the Current Report on Form 8-K filed by</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34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Charter Communications, Inc. on August 14, 2017 (File No. 001-33664)).</w:t>
              </w:r>
            </w:hyperlink>
          </w:p>
        </w:tc>
        <w:tc>
          <w:tcPr>
            <w:tcW w:w="5040" w:type="dxa"/>
            <w:vAlign w:val="bottom"/>
            <w:gridSpan w:val="29"/>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4.23</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5.000% Senior Notes due 2028 (incorporated by reference to Exhibit 4.2 to the Current Report on Form 8-K filed by Charter</w:t>
              </w:r>
            </w:hyperlink>
          </w:p>
        </w:tc>
      </w:tr>
      <w:tr>
        <w:trPr>
          <w:trHeight w:val="155"/>
        </w:trPr>
        <w:tc>
          <w:tcPr>
            <w:tcW w:w="126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Communications, Inc. on August 14, 2017 (File No. 001-33664)).</w:t>
              </w:r>
            </w:hyperlink>
          </w:p>
        </w:tc>
        <w:tc>
          <w:tcPr>
            <w:tcW w:w="524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4.24</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Seventh Supplemental Indenture, dated as of September 18, 2017, among Charter Communications Operating, LLC, Charter</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Communications Operating Capital Corp., the guarantors party thereto and The Bank of New York Mellon Trust Company, N.A., as</w:t>
              </w:r>
            </w:hyperlink>
          </w:p>
        </w:tc>
        <w:tc>
          <w:tcPr>
            <w:tcW w:w="80" w:type="dxa"/>
            <w:vAlign w:val="bottom"/>
            <w:tcBorders>
              <w:bottom w:val="single" w:sz="8" w:color="0000FF"/>
            </w:tcBorders>
            <w:gridSpan w:val="4"/>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440" w:type="dxa"/>
            <w:vAlign w:val="bottom"/>
            <w:gridSpan w:val="42"/>
          </w:tcPr>
          <w:p>
            <w:pPr>
              <w:spacing w:after="0" w:line="16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trustee and collateral agent (incorporated by reference to Exhibit 4.3 to the Current Report on Form 8-K filed by Charter</w:t>
              </w:r>
            </w:hyperlink>
          </w:p>
        </w:tc>
        <w:tc>
          <w:tcPr>
            <w:tcW w:w="40" w:type="dxa"/>
            <w:vAlign w:val="bottom"/>
            <w:gridSpan w:val="2"/>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1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Communications, Inc. on September 21, 2017 (File No. 001-33664)).</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4.25</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Form of 4.200% Senior Secured Notes due 2028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99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Charter Communications, Inc. on September 21, 2017 (File No. 001-33664)).</w:t>
              </w:r>
            </w:hyperlink>
          </w:p>
        </w:tc>
        <w:tc>
          <w:tcPr>
            <w:tcW w:w="12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4.26</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Eighth  Supplemental  Indenture,  dated  as  of  December  21,  2017,  among  Charter  Communications  Operating,  LLC,  Charter</w:t>
              </w:r>
            </w:hyperlink>
          </w:p>
        </w:tc>
      </w:tr>
      <w:tr>
        <w:trPr>
          <w:trHeight w:val="155"/>
        </w:trPr>
        <w:tc>
          <w:tcPr>
            <w:tcW w:w="126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Communications Operating Capital Corp., CCO Holdings, LLC, the subsidiary guarantor parties thereto and The Bank of New York</w:t>
              </w:r>
            </w:hyperlink>
          </w:p>
        </w:tc>
        <w:tc>
          <w:tcPr>
            <w:tcW w:w="60" w:type="dxa"/>
            <w:vAlign w:val="bottom"/>
            <w:tcBorders>
              <w:bottom w:val="single" w:sz="8" w:color="0000FF"/>
            </w:tcBorders>
            <w:gridSpan w:val="3"/>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40" w:type="dxa"/>
            <w:vAlign w:val="bottom"/>
            <w:gridSpan w:val="37"/>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Mellon Trust Company, N.A., as trustee (incorporated by reference to Exhibit 4.5 to Form S-3 filed by Charter Communications, Inc. on</w:t>
              </w:r>
            </w:hyperlink>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December 22, 2017 (File No. 333-222241)).</w:t>
              </w:r>
            </w:hyperlink>
          </w:p>
        </w:tc>
        <w:tc>
          <w:tcPr>
            <w:tcW w:w="6860" w:type="dxa"/>
            <w:vAlign w:val="bottom"/>
            <w:tcBorders>
              <w:top w:val="single" w:sz="8" w:color="0000FF"/>
            </w:tcBorders>
            <w:gridSpan w:val="20"/>
          </w:tcPr>
          <w:p>
            <w:pPr>
              <w:spacing w:after="0"/>
              <w:rPr>
                <w:sz w:val="13"/>
                <w:szCs w:val="13"/>
                <w:color w:val="auto"/>
              </w:rPr>
            </w:pPr>
          </w:p>
        </w:tc>
        <w:tc>
          <w:tcPr>
            <w:tcW w:w="180" w:type="dxa"/>
            <w:vAlign w:val="bottom"/>
            <w:gridSpan w:val="9"/>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4.27</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Ninth Supplemental Indenture, dated as of April 17, 2018, among Charter Communications Operating, LLC, Charter Communications</w:t>
              </w:r>
            </w:hyperlink>
          </w:p>
        </w:tc>
      </w:tr>
      <w:tr>
        <w:trPr>
          <w:trHeight w:val="155"/>
        </w:trPr>
        <w:tc>
          <w:tcPr>
            <w:tcW w:w="1260" w:type="dxa"/>
            <w:vAlign w:val="bottom"/>
          </w:tcPr>
          <w:p>
            <w:pPr>
              <w:spacing w:after="0"/>
              <w:rPr>
                <w:sz w:val="13"/>
                <w:szCs w:val="13"/>
                <w:color w:val="auto"/>
              </w:rPr>
            </w:pPr>
          </w:p>
        </w:tc>
        <w:tc>
          <w:tcPr>
            <w:tcW w:w="10460" w:type="dxa"/>
            <w:vAlign w:val="bottom"/>
            <w:tcBorders>
              <w:top w:val="single" w:sz="8" w:color="0000FF"/>
            </w:tcBorders>
            <w:gridSpan w:val="43"/>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40" w:type="dxa"/>
            <w:vAlign w:val="bottom"/>
            <w:tcBorders>
              <w:top w:val="single" w:sz="8" w:color="0000FF"/>
              <w:bottom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Trust Company, N.A., as trustee and collateral agent (incorporated by reference to Exhibit 4.2 to the Current Report on Form 8-K filed by</w:t>
              </w:r>
            </w:hyperlink>
          </w:p>
        </w:tc>
        <w:tc>
          <w:tcPr>
            <w:tcW w:w="120" w:type="dxa"/>
            <w:vAlign w:val="bottom"/>
            <w:tcBorders>
              <w:bottom w:val="single" w:sz="8" w:color="0000FF"/>
            </w:tcBorders>
            <w:gridSpan w:val="6"/>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5220" w:type="dxa"/>
            <w:vAlign w:val="bottom"/>
            <w:tcBorders>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Charter Communications, Inc. on April 20, 2018 (File No. 001-33664)).</w:t>
              </w:r>
            </w:hyperlink>
          </w:p>
        </w:tc>
        <w:tc>
          <w:tcPr>
            <w:tcW w:w="5140" w:type="dxa"/>
            <w:vAlign w:val="bottom"/>
            <w:gridSpan w:val="29"/>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4.28</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5.375% Senior Secured Notes due 2038 (incorporated by reference to Exhibit 4.3 to the Current Report on Form 8-K filed by</w:t>
              </w:r>
            </w:hyperlink>
          </w:p>
        </w:tc>
      </w:tr>
      <w:tr>
        <w:trPr>
          <w:trHeight w:val="156"/>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Charter Communications, Inc. on April 20, 2018 (File No. 001-33664)).</w:t>
              </w:r>
            </w:hyperlink>
          </w:p>
        </w:tc>
        <w:tc>
          <w:tcPr>
            <w:tcW w:w="4440" w:type="dxa"/>
            <w:vAlign w:val="bottom"/>
            <w:tcBorders>
              <w:top w:val="single" w:sz="8" w:color="0000FF"/>
            </w:tcBorders>
            <w:gridSpan w:val="7"/>
          </w:tcPr>
          <w:p>
            <w:pPr>
              <w:spacing w:after="0"/>
              <w:rPr>
                <w:sz w:val="13"/>
                <w:szCs w:val="13"/>
                <w:color w:val="auto"/>
              </w:rPr>
            </w:pPr>
          </w:p>
        </w:tc>
        <w:tc>
          <w:tcPr>
            <w:tcW w:w="820" w:type="dxa"/>
            <w:vAlign w:val="bottom"/>
            <w:gridSpan w:val="28"/>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4.29</w:t>
            </w:r>
          </w:p>
        </w:tc>
        <w:tc>
          <w:tcPr>
            <w:tcW w:w="10480" w:type="dxa"/>
            <w:vAlign w:val="bottom"/>
            <w:gridSpan w:val="44"/>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5.750% Senior Secured Notes due 2048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Charter Communications, Inc. on April 20, 2018 (File No. 001-33664)).</w:t>
              </w:r>
            </w:hyperlink>
          </w:p>
        </w:tc>
        <w:tc>
          <w:tcPr>
            <w:tcW w:w="4460" w:type="dxa"/>
            <w:vAlign w:val="bottom"/>
            <w:tcBorders>
              <w:top w:val="single" w:sz="8" w:color="0000FF"/>
            </w:tcBorders>
            <w:gridSpan w:val="8"/>
          </w:tcPr>
          <w:p>
            <w:pPr>
              <w:spacing w:after="0"/>
              <w:rPr>
                <w:sz w:val="13"/>
                <w:szCs w:val="13"/>
                <w:color w:val="auto"/>
              </w:rPr>
            </w:pPr>
          </w:p>
        </w:tc>
        <w:tc>
          <w:tcPr>
            <w:tcW w:w="820" w:type="dxa"/>
            <w:vAlign w:val="bottom"/>
            <w:gridSpan w:val="28"/>
          </w:tcPr>
          <w:p>
            <w:pPr>
              <w:spacing w:after="0"/>
              <w:rPr>
                <w:sz w:val="13"/>
                <w:szCs w:val="13"/>
                <w:color w:val="auto"/>
              </w:rPr>
            </w:pPr>
          </w:p>
        </w:tc>
      </w:tr>
      <w:tr>
        <w:trPr>
          <w:trHeight w:val="695"/>
        </w:trPr>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41"/>
          </w:tcPr>
          <w:p>
            <w:pPr>
              <w:ind w:left="1040"/>
              <w:spacing w:after="0"/>
              <w:rPr>
                <w:sz w:val="20"/>
                <w:szCs w:val="20"/>
                <w:color w:val="auto"/>
              </w:rPr>
            </w:pPr>
            <w:r>
              <w:rPr>
                <w:rFonts w:ascii="Times New Roman" w:cs="Times New Roman" w:eastAsia="Times New Roman" w:hAnsi="Times New Roman"/>
                <w:sz w:val="18"/>
                <w:szCs w:val="18"/>
                <w:color w:val="auto"/>
              </w:rPr>
              <w:t>E-2</w:t>
            </w:r>
          </w:p>
        </w:tc>
      </w:tr>
      <w:tr>
        <w:trPr>
          <w:trHeight w:val="358"/>
        </w:trPr>
        <w:tc>
          <w:tcPr>
            <w:tcW w:w="12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4.30</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Tenth Supplemental Indenture, dated as of July 3, 2018,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Trust Company, N.A., as trustee and collateral agent (incorporated by reference to Exhibit 4.2 to the Current Report on Form 8-K filed by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260" w:type="dxa"/>
            <w:vAlign w:val="bottom"/>
            <w:gridSpan w:val="33"/>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Charter Communications, Inc. on July 9, 2018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4.31</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Senior Secured Floating Notes due 2024 (incorporated by reference to Exhibit 4.3 to the Current Report on Form 8-K filed by</w:t>
              </w:r>
            </w:hyperlink>
          </w:p>
        </w:tc>
      </w:tr>
      <w:tr>
        <w:trPr>
          <w:trHeight w:val="156"/>
        </w:trPr>
        <w:tc>
          <w:tcPr>
            <w:tcW w:w="1260" w:type="dxa"/>
            <w:vAlign w:val="bottom"/>
          </w:tcPr>
          <w:p>
            <w:pPr>
              <w:spacing w:after="0"/>
              <w:rPr>
                <w:sz w:val="13"/>
                <w:szCs w:val="13"/>
                <w:color w:val="auto"/>
              </w:rPr>
            </w:pPr>
          </w:p>
        </w:tc>
        <w:tc>
          <w:tcPr>
            <w:tcW w:w="101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Charter Communications, Inc. on July 9, 2018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4.32</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4.500% Senior Secured Notes due 2024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96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Charter Communications, Inc. on July 9, 2018 (File No. 001-33664)).</w:t>
              </w:r>
            </w:hyperlink>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4.33</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Eleventh Supplemental Indenture dated as of July 27, 2018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1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Operating Capital Corp., CCO Holdings, LLC, the subsidiary guarantors party thereto and The Bank of New York Mellon Trust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Company, N.A., as trustee and collateral agent (incorporated by reference to Exhibit 4.7 to Form S-3 filed by Charter Communications,</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220" w:type="dxa"/>
            <w:vAlign w:val="bottom"/>
            <w:gridSpan w:val="31"/>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Inc. on October 30, 2023 (File No. 333-275214-116)).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4.34</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Twelfth  Supplemental  Indenture,  dated  as  of  January  17,  2019,  among  Charter  Communications  Operating,  LLC,  Charter</w:t>
              </w:r>
            </w:hyperlink>
          </w:p>
        </w:tc>
      </w:tr>
      <w:tr>
        <w:trPr>
          <w:trHeight w:val="156"/>
        </w:trPr>
        <w:tc>
          <w:tcPr>
            <w:tcW w:w="1260" w:type="dxa"/>
            <w:vAlign w:val="bottom"/>
          </w:tcPr>
          <w:p>
            <w:pPr>
              <w:spacing w:after="0"/>
              <w:rPr>
                <w:sz w:val="13"/>
                <w:szCs w:val="13"/>
                <w:color w:val="auto"/>
              </w:rPr>
            </w:pPr>
          </w:p>
        </w:tc>
        <w:tc>
          <w:tcPr>
            <w:tcW w:w="1034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4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York Mellon Trust Company, N.A., as trustee and collateral agent (incorporated by reference to Exhibit 4.4 to the Current Report on Form</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8-K filed by Charter Communications, Inc. on January 24, 2019 (File No. 001-33664)).</w:t>
              </w:r>
            </w:hyperlink>
          </w:p>
        </w:tc>
        <w:tc>
          <w:tcPr>
            <w:tcW w:w="38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4.35</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5.050% Senior Secured Notes due 2029 (incorporated by reference to Exhibit 4.5 to the Current Report on Form 8-K filed by</w:t>
              </w:r>
            </w:hyperlink>
          </w:p>
        </w:tc>
      </w:tr>
      <w:tr>
        <w:trPr>
          <w:trHeight w:val="155"/>
        </w:trPr>
        <w:tc>
          <w:tcPr>
            <w:tcW w:w="126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Charter Communications, Inc. on January 24, 2019 (File No. 001-33664)).</w:t>
              </w:r>
            </w:hyperlink>
          </w:p>
        </w:tc>
        <w:tc>
          <w:tcPr>
            <w:tcW w:w="45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4.36</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Indenture, dated as of May 23, 2019, among CCO Holdings, LLC, CCO Holdings Capital Corp. and The Bank of New York Mellon Trust</w:t>
              </w:r>
            </w:hyperlink>
          </w:p>
        </w:tc>
      </w:tr>
      <w:tr>
        <w:trPr>
          <w:trHeight w:val="156"/>
        </w:trPr>
        <w:tc>
          <w:tcPr>
            <w:tcW w:w="1260" w:type="dxa"/>
            <w:vAlign w:val="bottom"/>
          </w:tcPr>
          <w:p>
            <w:pPr>
              <w:spacing w:after="0"/>
              <w:rPr>
                <w:sz w:val="13"/>
                <w:szCs w:val="13"/>
                <w:color w:val="auto"/>
              </w:rPr>
            </w:pPr>
          </w:p>
        </w:tc>
        <w:tc>
          <w:tcPr>
            <w:tcW w:w="100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Company, N.A., as trustee (incorporated by reference to Exhibit 4.1 to the Current Report on Form 8-K filed by Charter Communications,</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0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Inc. on May 30, 2019 (File No. 001-33664)).</w:t>
              </w:r>
            </w:hyperlink>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4.37</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First Supplemental Indenture, dated as of May 23, 2019, among CCO Holdings, LLC, CCO Holdings Capital Corp. and The Bank of</w:t>
              </w:r>
            </w:hyperlink>
          </w:p>
        </w:tc>
      </w:tr>
      <w:tr>
        <w:trPr>
          <w:trHeight w:val="155"/>
        </w:trPr>
        <w:tc>
          <w:tcPr>
            <w:tcW w:w="1260" w:type="dxa"/>
            <w:vAlign w:val="bottom"/>
          </w:tcPr>
          <w:p>
            <w:pPr>
              <w:spacing w:after="0"/>
              <w:rPr>
                <w:sz w:val="13"/>
                <w:szCs w:val="13"/>
                <w:color w:val="auto"/>
              </w:rPr>
            </w:pPr>
          </w:p>
        </w:tc>
        <w:tc>
          <w:tcPr>
            <w:tcW w:w="1038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8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Charter Communications, Inc. on May 30, 2019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4.38</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5.375% Senior Notes due 2029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Communications, Inc. on May 30, 2019 (File No. 001-33664)).</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4.39</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Thirteenth Supplemental Indenture dated as of June 21, 2019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32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tcBorders>
              <w:top w:val="single" w:sz="8" w:color="0000FF"/>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Trust Company, N.A., as trustee and collateral agent (incorporated by reference to Exhibit 4.8 to Form S-3 filed by Charter</w:t>
              </w:r>
            </w:hyperlink>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360" w:type="dxa"/>
            <w:vAlign w:val="bottom"/>
            <w:gridSpan w:val="38"/>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Communications, Inc. on October 30, 2023 (File No. 333-275214-116)).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4.40</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Fourteenth  Supplemental  Indenture,  dated  as  of  July  10,  2019,  among  Charter  Communications  Operating,  LLC,  Charter</w:t>
              </w:r>
            </w:hyperlink>
          </w:p>
        </w:tc>
      </w:tr>
      <w:tr>
        <w:trPr>
          <w:trHeight w:val="156"/>
        </w:trPr>
        <w:tc>
          <w:tcPr>
            <w:tcW w:w="1260" w:type="dxa"/>
            <w:vAlign w:val="bottom"/>
          </w:tcPr>
          <w:p>
            <w:pPr>
              <w:spacing w:after="0"/>
              <w:rPr>
                <w:sz w:val="13"/>
                <w:szCs w:val="13"/>
                <w:color w:val="auto"/>
              </w:rPr>
            </w:pPr>
          </w:p>
        </w:tc>
        <w:tc>
          <w:tcPr>
            <w:tcW w:w="100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4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York Mellon Trust Company, N.A., as trustee and collateral agent (incorporated by reference to Exhibit 4.5 to the Current Report on Form</w:t>
              </w:r>
            </w:hyperlink>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8-K filed by Charter Communications, Inc. on July 10, 2019 (File No. 001-33664)).</w:t>
              </w:r>
            </w:hyperlink>
          </w:p>
        </w:tc>
        <w:tc>
          <w:tcPr>
            <w:tcW w:w="41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4.41</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5.125% Senior Secured Notes due 2049 (incorporated by reference to Exhibit 4.6 to the Current Report on Form 8-K filed by</w:t>
              </w:r>
            </w:hyperlink>
          </w:p>
        </w:tc>
      </w:tr>
      <w:tr>
        <w:trPr>
          <w:trHeight w:val="155"/>
        </w:trPr>
        <w:tc>
          <w:tcPr>
            <w:tcW w:w="126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Charter Communications, Inc. on July 10, 2019 (File No. 001-33664)).</w:t>
              </w:r>
            </w:hyperlink>
          </w:p>
        </w:tc>
        <w:tc>
          <w:tcPr>
            <w:tcW w:w="526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4.42</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Second Supplemental Indenture, dated as of October 1, 2019, among CCO Holdings, LLC, CCO Holdings Capital Corp. and The Bank of</w:t>
              </w:r>
            </w:hyperlink>
          </w:p>
        </w:tc>
      </w:tr>
      <w:tr>
        <w:trPr>
          <w:trHeight w:val="155"/>
        </w:trPr>
        <w:tc>
          <w:tcPr>
            <w:tcW w:w="126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00" w:type="dxa"/>
            <w:vAlign w:val="bottom"/>
            <w:gridSpan w:val="35"/>
          </w:tcPr>
          <w:p>
            <w:pPr>
              <w:spacing w:after="0" w:line="16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Charter Communications, Inc. on October 7, 2019).</w:t>
              </w:r>
            </w:hyperlink>
          </w:p>
        </w:tc>
        <w:tc>
          <w:tcPr>
            <w:tcW w:w="120" w:type="dxa"/>
            <w:vAlign w:val="bottom"/>
            <w:gridSpan w:val="6"/>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4.43</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4.750% Senior Notes due 2030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Communications, Inc. on October 7, 2019 (File No. 001-33664)).</w:t>
              </w:r>
            </w:hyperlink>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2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76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4.44</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Fifteenth  Supplemental  Indenture,  dated  as  of  October  24,  2019,  among  Charter  Communications  Operating,  LLC,  Charter</w:t>
              </w:r>
            </w:hyperlink>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4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York Mellon Trust Company, N.A., as trustee and collateral agent (incorporated by reference to Exhibit 4.5 to the Current Report on Form</w:t>
              </w:r>
            </w:hyperlink>
          </w:p>
        </w:tc>
        <w:tc>
          <w:tcPr>
            <w:tcW w:w="180" w:type="dxa"/>
            <w:vAlign w:val="bottom"/>
            <w:gridSpan w:val="9"/>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8-K filed by Charter Communications, Inc. on October 30, 2019 (File No. 001-33664)).</w:t>
              </w:r>
            </w:hyperlink>
          </w:p>
        </w:tc>
        <w:tc>
          <w:tcPr>
            <w:tcW w:w="384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4.45</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4.800% Senior Secured Notes due 2050 (incorporated by reference to Exhibit 4.6 to the Current Report on Form 8-K filed by</w:t>
              </w:r>
            </w:hyperlink>
          </w:p>
        </w:tc>
      </w:tr>
      <w:tr>
        <w:trPr>
          <w:trHeight w:val="155"/>
        </w:trPr>
        <w:tc>
          <w:tcPr>
            <w:tcW w:w="126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Charter Communications, Inc. on October 30, 2019 (File No. 001-33664)).</w:t>
              </w:r>
            </w:hyperlink>
          </w:p>
        </w:tc>
        <w:tc>
          <w:tcPr>
            <w:tcW w:w="4540" w:type="dxa"/>
            <w:vAlign w:val="bottom"/>
            <w:tcBorders>
              <w:top w:val="single" w:sz="8" w:color="0000FF"/>
            </w:tcBorders>
            <w:gridSpan w:val="6"/>
          </w:tcPr>
          <w:p>
            <w:pPr>
              <w:spacing w:after="0"/>
              <w:rPr>
                <w:sz w:val="13"/>
                <w:szCs w:val="13"/>
                <w:color w:val="auto"/>
              </w:rPr>
            </w:pPr>
          </w:p>
        </w:tc>
        <w:tc>
          <w:tcPr>
            <w:tcW w:w="140" w:type="dxa"/>
            <w:vAlign w:val="bottom"/>
            <w:gridSpan w:val="7"/>
          </w:tcPr>
          <w:p>
            <w:pPr>
              <w:spacing w:after="0"/>
              <w:rPr>
                <w:sz w:val="13"/>
                <w:szCs w:val="13"/>
                <w:color w:val="auto"/>
              </w:rPr>
            </w:pPr>
          </w:p>
        </w:tc>
        <w:tc>
          <w:tcPr>
            <w:tcW w:w="120" w:type="dxa"/>
            <w:vAlign w:val="bottom"/>
            <w:gridSpan w:val="6"/>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4.46</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Third Supplemental Indenture, dated as of February 18, 2020, among CCO Holdings, LLC, CCO Holdings Capital Corp. and The Bank</w:t>
              </w:r>
            </w:hyperlink>
          </w:p>
        </w:tc>
      </w:tr>
      <w:tr>
        <w:trPr>
          <w:trHeight w:val="155"/>
        </w:trPr>
        <w:tc>
          <w:tcPr>
            <w:tcW w:w="12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120" w:type="dxa"/>
            <w:vAlign w:val="bottom"/>
            <w:tcBorders>
              <w:bottom w:val="single" w:sz="8" w:color="0000FF"/>
            </w:tcBorders>
            <w:gridSpan w:val="6"/>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00" w:type="dxa"/>
            <w:vAlign w:val="bottom"/>
            <w:gridSpan w:val="30"/>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by Charter Communications, Inc. on February 21, 2020 (File No. 001-33664)).</w:t>
              </w:r>
            </w:hyperlink>
          </w:p>
        </w:tc>
        <w:tc>
          <w:tcPr>
            <w:tcW w:w="220" w:type="dxa"/>
            <w:vAlign w:val="bottom"/>
            <w:gridSpan w:val="11"/>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880" w:type="dxa"/>
            <w:vAlign w:val="bottom"/>
            <w:gridSpan w:val="6"/>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4740" w:type="dxa"/>
            <w:vAlign w:val="bottom"/>
            <w:gridSpan w:val="29"/>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4.47</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4.500% Senior Notes due 2030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Communications, Inc. on February 21, 2020 (File No. 001-33664)).</w:t>
              </w:r>
            </w:hyperlink>
          </w:p>
        </w:tc>
        <w:tc>
          <w:tcPr>
            <w:tcW w:w="440" w:type="dxa"/>
            <w:vAlign w:val="bottom"/>
            <w:gridSpan w:val="22"/>
          </w:tcPr>
          <w:p>
            <w:pPr>
              <w:spacing w:after="0"/>
              <w:rPr>
                <w:sz w:val="13"/>
                <w:szCs w:val="13"/>
                <w:color w:val="auto"/>
              </w:rPr>
            </w:pPr>
          </w:p>
        </w:tc>
      </w:tr>
      <w:tr>
        <w:trPr>
          <w:trHeight w:val="695"/>
        </w:trPr>
        <w:tc>
          <w:tcPr>
            <w:tcW w:w="1260" w:type="dxa"/>
            <w:vAlign w:val="bottom"/>
          </w:tcPr>
          <w:p>
            <w:pPr>
              <w:spacing w:after="0"/>
              <w:rPr>
                <w:sz w:val="24"/>
                <w:szCs w:val="24"/>
                <w:color w:val="auto"/>
              </w:rPr>
            </w:pPr>
          </w:p>
        </w:tc>
        <w:tc>
          <w:tcPr>
            <w:tcW w:w="3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E-3</w:t>
            </w:r>
          </w:p>
        </w:tc>
        <w:tc>
          <w:tcPr>
            <w:tcW w:w="5540" w:type="dxa"/>
            <w:vAlign w:val="bottom"/>
            <w:gridSpan w:val="35"/>
          </w:tcPr>
          <w:p>
            <w:pPr>
              <w:spacing w:after="0"/>
              <w:rPr>
                <w:sz w:val="24"/>
                <w:szCs w:val="24"/>
                <w:color w:val="auto"/>
              </w:rPr>
            </w:pPr>
          </w:p>
        </w:tc>
      </w:tr>
      <w:tr>
        <w:trPr>
          <w:trHeight w:val="358"/>
        </w:trPr>
        <w:tc>
          <w:tcPr>
            <w:tcW w:w="12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4.48</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Fourth Supplemental Indenture, dated as of March 18, 2020, among CCO Holdings, LLC, CCO Holdings Capital Corp. and The Bank of</w:t>
              </w:r>
            </w:hyperlink>
          </w:p>
        </w:tc>
      </w:tr>
      <w:tr>
        <w:trPr>
          <w:trHeight w:val="156"/>
        </w:trPr>
        <w:tc>
          <w:tcPr>
            <w:tcW w:w="126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New York Mellon Trust Company, N.A., as trustee (incorporated by reference to Exhibit 4.4 to the Current Report on Form 8-K filed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00" w:type="dxa"/>
            <w:vAlign w:val="bottom"/>
            <w:gridSpan w:val="24"/>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Charter Communications, Inc. on March 23, 2020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4.49</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4.500% Senior Notes due 2032 (incorporated by reference to Exhibit 4.5 to the Current Report on Form 8-K filed by Charter</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Communications, Inc. on March 23, 2020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4.50</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Sixteenth Supplemental Indenture, dated as of April 17, 2020,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2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Trust Company, N.A., as trustee and collateral agent (incorporated by reference to Exhibit 4.2 to the Current Report on Form 8-K filed by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522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Charter Communications, Inc. on April 17, 2020 (File No. 001-33664)).</w:t>
              </w:r>
            </w:hyperlink>
          </w:p>
        </w:tc>
        <w:tc>
          <w:tcPr>
            <w:tcW w:w="4960" w:type="dxa"/>
            <w:vAlign w:val="bottom"/>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4.51</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2.800% Senior Secured Notes due 2031 (incorporated by reference to Exhibit 4.3 to the Current Report on Form 8-K filed by</w:t>
              </w:r>
            </w:hyperlink>
          </w:p>
        </w:tc>
      </w:tr>
      <w:tr>
        <w:trPr>
          <w:trHeight w:val="155"/>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Charter Communications, Inc. on April 17, 2020 (File No. 001-33664)).</w:t>
              </w:r>
            </w:hyperlink>
          </w:p>
        </w:tc>
        <w:tc>
          <w:tcPr>
            <w:tcW w:w="47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4.52</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3.700% Senior Secured Notes due 2051 (incorporated by reference to Exhibit 4.4 to the Current Report on Form 8-K filed by</w:t>
              </w:r>
            </w:hyperlink>
          </w:p>
        </w:tc>
      </w:tr>
      <w:tr>
        <w:trPr>
          <w:trHeight w:val="156"/>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Charter Communications, Inc. on April 17, 2020 (File No. 001-33664)).</w:t>
              </w:r>
            </w:hyperlink>
          </w:p>
        </w:tc>
        <w:tc>
          <w:tcPr>
            <w:tcW w:w="47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4.53</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Fifth Supplemental Indenture, dated as of July 9, 2020, among CCO Holdings, LLC, CCO Holdings Capital Corp. and The Bank of New</w:t>
              </w:r>
            </w:hyperlink>
          </w:p>
        </w:tc>
      </w:tr>
      <w:tr>
        <w:trPr>
          <w:trHeight w:val="155"/>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York Mellon Trust Company, N.A., as trustee (incorporated by reference to Exhibit 4.2 to the Current Report on Form 8-K filed by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12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Charter Communications, Inc. on July 13, 2020 (File No. 001-33664)).</w:t>
              </w:r>
            </w:hyperlink>
          </w:p>
        </w:tc>
        <w:tc>
          <w:tcPr>
            <w:tcW w:w="48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4.54</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4.250% Senior Notes due 2031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45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Communications, Inc. on July 13, 2020 (File No. 001-33664)).</w:t>
              </w:r>
            </w:hyperlink>
          </w:p>
        </w:tc>
        <w:tc>
          <w:tcPr>
            <w:tcW w:w="544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4.55</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Seventeenth Supplemental Indenture dated as of November 19, 2020 among Charter Communications Operating, LLC, Charter</w:t>
              </w:r>
            </w:hyperlink>
          </w:p>
        </w:tc>
      </w:tr>
      <w:tr>
        <w:trPr>
          <w:trHeight w:val="155"/>
        </w:trPr>
        <w:tc>
          <w:tcPr>
            <w:tcW w:w="1260" w:type="dxa"/>
            <w:vAlign w:val="bottom"/>
          </w:tcPr>
          <w:p>
            <w:pPr>
              <w:spacing w:after="0"/>
              <w:rPr>
                <w:sz w:val="13"/>
                <w:szCs w:val="13"/>
                <w:color w:val="auto"/>
              </w:rPr>
            </w:pPr>
          </w:p>
        </w:tc>
        <w:tc>
          <w:tcPr>
            <w:tcW w:w="102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Communications Operating Capital Corp., CCO Holdings, LLC, the subsidiary guarantors party thereto and The Bank of New York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6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Mellon Trust Company, N.A., as trustee and collateral agent (incorporated by reference to Exhibit 4.9 to Form S-3 filed by Charter</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160" w:type="dxa"/>
            <w:vAlign w:val="bottom"/>
            <w:gridSpan w:val="22"/>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Communications, Inc. on October 30, 2023 (File No. 333-275214-116)).</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4.56</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Eighteenth Supplemental Indenture, dated as of December 4, 2020, among Charter Communications Operating, LLC, Charter</w:t>
              </w:r>
            </w:hyperlink>
          </w:p>
        </w:tc>
      </w:tr>
      <w:tr>
        <w:trPr>
          <w:trHeight w:val="156"/>
        </w:trPr>
        <w:tc>
          <w:tcPr>
            <w:tcW w:w="1260" w:type="dxa"/>
            <w:vAlign w:val="bottom"/>
          </w:tcPr>
          <w:p>
            <w:pPr>
              <w:spacing w:after="0"/>
              <w:rPr>
                <w:sz w:val="13"/>
                <w:szCs w:val="13"/>
                <w:color w:val="auto"/>
              </w:rPr>
            </w:pPr>
          </w:p>
        </w:tc>
        <w:tc>
          <w:tcPr>
            <w:tcW w:w="10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York Mellon Trust Company, N.A., as trustee and collateral agent (incorporated by reference to Exhibit 4.3 to the Current Report on Form</w:t>
              </w:r>
            </w:hyperlink>
          </w:p>
        </w:tc>
        <w:tc>
          <w:tcPr>
            <w:tcW w:w="140" w:type="dxa"/>
            <w:vAlign w:val="bottom"/>
            <w:gridSpan w:val="7"/>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0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8-K filed by Charter Communications, Inc. on December 4, 2020 (File No. 001-33664)).</w:t>
              </w:r>
            </w:hyperlink>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4.57</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2.300% Senior Secured Notes due 2032 (incorporated by reference to Exhibit 4.5 to the Current Report on Form 8-K filed by</w:t>
              </w:r>
            </w:hyperlink>
          </w:p>
        </w:tc>
      </w:tr>
      <w:tr>
        <w:trPr>
          <w:trHeight w:val="156"/>
        </w:trPr>
        <w:tc>
          <w:tcPr>
            <w:tcW w:w="126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Charter Communications, Inc. on December 4, 2020 (File No. 001-33664)).</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4.58</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3.850% Senior Secured Notes due 2061 (incorporated by reference to Exhibit 4.6 to the Current Report on Form 8-K filed by</w:t>
              </w:r>
            </w:hyperlink>
          </w:p>
        </w:tc>
      </w:tr>
      <w:tr>
        <w:trPr>
          <w:trHeight w:val="155"/>
        </w:trPr>
        <w:tc>
          <w:tcPr>
            <w:tcW w:w="126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Charter Communications, Inc. on December 4, 2020 (File No. 001-33664)).</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4.59</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Nineteenth  Supplemental  Indenture,  dated  as  of  March  4,  2021,  among  Charter  Communications  Operating,  LLC,  Charter</w:t>
              </w:r>
            </w:hyperlink>
          </w:p>
        </w:tc>
      </w:tr>
      <w:tr>
        <w:trPr>
          <w:trHeight w:val="156"/>
        </w:trPr>
        <w:tc>
          <w:tcPr>
            <w:tcW w:w="1260" w:type="dxa"/>
            <w:vAlign w:val="bottom"/>
          </w:tcPr>
          <w:p>
            <w:pPr>
              <w:spacing w:after="0"/>
              <w:rPr>
                <w:sz w:val="13"/>
                <w:szCs w:val="13"/>
                <w:color w:val="auto"/>
              </w:rPr>
            </w:pPr>
          </w:p>
        </w:tc>
        <w:tc>
          <w:tcPr>
            <w:tcW w:w="101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160" w:type="dxa"/>
            <w:vAlign w:val="bottom"/>
            <w:gridSpan w:val="8"/>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York Mellon Trust Company, N.A., as trustee and collateral agent (incorporated by reference to Exhibit 4.3 to the Current Report on Form</w:t>
              </w:r>
            </w:hyperlink>
          </w:p>
        </w:tc>
        <w:tc>
          <w:tcPr>
            <w:tcW w:w="140" w:type="dxa"/>
            <w:vAlign w:val="bottom"/>
            <w:gridSpan w:val="7"/>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8-K filed by Charter Communications, Inc. on March 4, 2021 (File No. 001-33664)).</w:t>
              </w:r>
            </w:hyperlink>
          </w:p>
        </w:tc>
        <w:tc>
          <w:tcPr>
            <w:tcW w:w="3960" w:type="dxa"/>
            <w:vAlign w:val="bottom"/>
            <w:tcBorders>
              <w:top w:val="single" w:sz="8" w:color="0000FF"/>
            </w:tcBorders>
            <w:gridSpan w:val="9"/>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4.60</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3.500% Senior Secured Notes due 2041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Charter Communications, Inc. on March 4, 2021 (File No. 001-33664)).</w:t>
              </w:r>
            </w:hyperlink>
          </w:p>
        </w:tc>
        <w:tc>
          <w:tcPr>
            <w:tcW w:w="4720" w:type="dxa"/>
            <w:vAlign w:val="bottom"/>
            <w:tcBorders>
              <w:top w:val="single" w:sz="8" w:color="0000FF"/>
            </w:tcBorders>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4.61</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3.900% Senior Secured Notes due 2052 (incorporated by reference to Exhibit 4.5 to the Current Report on Form 8-K filed by</w:t>
              </w:r>
            </w:hyperlink>
          </w:p>
        </w:tc>
      </w:tr>
      <w:tr>
        <w:trPr>
          <w:trHeight w:val="155"/>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Charter Communications, Inc. on March 4, 2021 (File No. 001-33664)).</w:t>
              </w:r>
            </w:hyperlink>
          </w:p>
        </w:tc>
        <w:tc>
          <w:tcPr>
            <w:tcW w:w="4720" w:type="dxa"/>
            <w:vAlign w:val="bottom"/>
            <w:tcBorders>
              <w:top w:val="single" w:sz="8" w:color="0000FF"/>
            </w:tcBorders>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4.62</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Sixth Supplemental Indenture, dated as of April 22, 2021, among CCO Holdings, LLC, CCO Holdings Capital Corp. and The Bank of</w:t>
              </w:r>
            </w:hyperlink>
          </w:p>
        </w:tc>
      </w:tr>
      <w:tr>
        <w:trPr>
          <w:trHeight w:val="156"/>
        </w:trPr>
        <w:tc>
          <w:tcPr>
            <w:tcW w:w="126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2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Charter Communications, Inc. on April 27, 2021 (File No. 001-33664)).</w:t>
              </w:r>
            </w:hyperlink>
          </w:p>
        </w:tc>
        <w:tc>
          <w:tcPr>
            <w:tcW w:w="4980" w:type="dxa"/>
            <w:vAlign w:val="bottom"/>
            <w:tcBorders>
              <w:top w:val="single" w:sz="8" w:color="0000FF"/>
            </w:tcBorders>
            <w:gridSpan w:val="18"/>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4.63</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4.500% Senior Notes due 2033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Communications, Inc. on April 27, 2021 (File No. 001-33664)).</w:t>
              </w:r>
            </w:hyperlink>
          </w:p>
        </w:tc>
        <w:tc>
          <w:tcPr>
            <w:tcW w:w="5360" w:type="dxa"/>
            <w:vAlign w:val="bottom"/>
            <w:tcBorders>
              <w:top w:val="single" w:sz="8" w:color="0000FF"/>
            </w:tcBorders>
            <w:gridSpan w:val="11"/>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4.64</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Twentieth Supplemental Indenture, dated as of June 2, 2021, among Charter Communications Operating, LLC, Charter Communications</w:t>
              </w:r>
            </w:hyperlink>
          </w:p>
        </w:tc>
      </w:tr>
      <w:tr>
        <w:trPr>
          <w:trHeight w:val="155"/>
        </w:trPr>
        <w:tc>
          <w:tcPr>
            <w:tcW w:w="1260" w:type="dxa"/>
            <w:vAlign w:val="bottom"/>
          </w:tcPr>
          <w:p>
            <w:pPr>
              <w:spacing w:after="0"/>
              <w:rPr>
                <w:sz w:val="13"/>
                <w:szCs w:val="13"/>
                <w:color w:val="auto"/>
              </w:rPr>
            </w:pPr>
          </w:p>
        </w:tc>
        <w:tc>
          <w:tcPr>
            <w:tcW w:w="100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20" w:type="dxa"/>
            <w:vAlign w:val="bottom"/>
            <w:gridSpan w:val="11"/>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0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Trust Company, N.A., as trustee and collateral agent (incorporated by reference to Exhibit 4.6 to the Current Report on Form 8-K filed by</w:t>
              </w:r>
            </w:hyperlink>
          </w:p>
        </w:tc>
        <w:tc>
          <w:tcPr>
            <w:tcW w:w="180" w:type="dxa"/>
            <w:vAlign w:val="bottom"/>
            <w:gridSpan w:val="9"/>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1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Charter Communications, Inc. on June 2, 2021, 2021 (File No. 001-33664)).</w:t>
              </w:r>
            </w:hyperlink>
          </w:p>
        </w:tc>
        <w:tc>
          <w:tcPr>
            <w:tcW w:w="100" w:type="dxa"/>
            <w:vAlign w:val="bottom"/>
            <w:gridSpan w:val="5"/>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920" w:type="dxa"/>
            <w:vAlign w:val="bottom"/>
            <w:gridSpan w:val="4"/>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780" w:type="dxa"/>
            <w:vAlign w:val="bottom"/>
            <w:gridSpan w:val="20"/>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4.65</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4.400% Senior Notes due 2061 (incorporated by reference to Exhibit 4.8 to the Current Report on Form 8-K filed by Charter</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Communications, Inc. on June 2, 2021, 2021 (File No. 001-33664)).</w:t>
              </w:r>
            </w:hyperlink>
          </w:p>
        </w:tc>
        <w:tc>
          <w:tcPr>
            <w:tcW w:w="300" w:type="dxa"/>
            <w:vAlign w:val="bottom"/>
            <w:gridSpan w:val="15"/>
          </w:tcPr>
          <w:p>
            <w:pPr>
              <w:spacing w:after="0"/>
              <w:rPr>
                <w:sz w:val="13"/>
                <w:szCs w:val="13"/>
                <w:color w:val="auto"/>
              </w:rPr>
            </w:pPr>
          </w:p>
        </w:tc>
      </w:tr>
      <w:tr>
        <w:trPr>
          <w:trHeight w:val="696"/>
        </w:trPr>
        <w:tc>
          <w:tcPr>
            <w:tcW w:w="1260" w:type="dxa"/>
            <w:vAlign w:val="bottom"/>
          </w:tcPr>
          <w:p>
            <w:pPr>
              <w:spacing w:after="0"/>
              <w:rPr>
                <w:sz w:val="24"/>
                <w:szCs w:val="24"/>
                <w:color w:val="auto"/>
              </w:rPr>
            </w:pPr>
          </w:p>
        </w:tc>
        <w:tc>
          <w:tcPr>
            <w:tcW w:w="4920" w:type="dxa"/>
            <w:vAlign w:val="bottom"/>
            <w:tcBorders>
              <w:top w:val="single" w:sz="8" w:color="0000FF"/>
            </w:tcBorders>
            <w:gridSpan w:val="4"/>
          </w:tcPr>
          <w:p>
            <w:pPr>
              <w:ind w:left="4240"/>
              <w:spacing w:after="0"/>
              <w:rPr>
                <w:sz w:val="20"/>
                <w:szCs w:val="20"/>
                <w:color w:val="auto"/>
              </w:rPr>
            </w:pPr>
            <w:r>
              <w:rPr>
                <w:rFonts w:ascii="Times New Roman" w:cs="Times New Roman" w:eastAsia="Times New Roman" w:hAnsi="Times New Roman"/>
                <w:sz w:val="18"/>
                <w:szCs w:val="18"/>
                <w:color w:val="auto"/>
              </w:rPr>
              <w:t>E-4</w:t>
            </w:r>
          </w:p>
        </w:tc>
        <w:tc>
          <w:tcPr>
            <w:tcW w:w="5360" w:type="dxa"/>
            <w:vAlign w:val="bottom"/>
            <w:gridSpan w:val="24"/>
          </w:tcPr>
          <w:p>
            <w:pPr>
              <w:spacing w:after="0"/>
              <w:rPr>
                <w:sz w:val="24"/>
                <w:szCs w:val="24"/>
                <w:color w:val="auto"/>
              </w:rPr>
            </w:pPr>
          </w:p>
        </w:tc>
      </w:tr>
      <w:tr>
        <w:trPr>
          <w:trHeight w:val="358"/>
        </w:trPr>
        <w:tc>
          <w:tcPr>
            <w:tcW w:w="12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4.66</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Seventh Supplemental Indenture, dated as of August 16, 2021, among CCO Holdings, LLC, CCO Holdings Capital Corp. and The Bank</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80" w:type="dxa"/>
            <w:vAlign w:val="bottom"/>
            <w:gridSpan w:val="22"/>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by Charter Communications, Inc. on August 18, 2021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4.67</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4.250% Senior Notes due 2034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Communications, Inc. on August 18, 2021 (File No. 001-33664)).</w:t>
              </w:r>
            </w:hyperlink>
          </w:p>
        </w:tc>
        <w:tc>
          <w:tcPr>
            <w:tcW w:w="52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4.68</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Twenty-First Supplemental Indenture, dated as of October 12, 2021, among Charter Communications Operating, LLC, Charter</w:t>
              </w:r>
            </w:hyperlink>
          </w:p>
        </w:tc>
      </w:tr>
      <w:tr>
        <w:trPr>
          <w:trHeight w:val="156"/>
        </w:trPr>
        <w:tc>
          <w:tcPr>
            <w:tcW w:w="126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60" w:type="dxa"/>
            <w:vAlign w:val="bottom"/>
            <w:gridSpan w:val="26"/>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York Mellon Trust Company, N.A., as trustee and collateral agent (incorporated by reference to Exhibit 4.2 to the Current Report on Form</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8-K filed by Charter Communications, Inc. on October 12, 2021 (File No. 001-33664)).</w:t>
              </w:r>
            </w:hyperlink>
          </w:p>
        </w:tc>
        <w:tc>
          <w:tcPr>
            <w:tcW w:w="37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4.69</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2.250% Senior Secured Notes due 2029 (incorporated by reference to Exhibit 4.3 to the Current Report on Form 8-K filed by</w:t>
              </w:r>
            </w:hyperlink>
          </w:p>
        </w:tc>
      </w:tr>
      <w:tr>
        <w:trPr>
          <w:trHeight w:val="156"/>
        </w:trPr>
        <w:tc>
          <w:tcPr>
            <w:tcW w:w="126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Charter Communications, Inc. on October 12, 2021 (File No. 001-33664)).</w:t>
              </w:r>
            </w:hyperlink>
          </w:p>
        </w:tc>
        <w:tc>
          <w:tcPr>
            <w:tcW w:w="45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4.70</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3.500% Senior Secured Notes due 2042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Charter Communications, Inc. on October 12, 2021 (File No. 001-33664)).</w:t>
              </w:r>
            </w:hyperlink>
          </w:p>
        </w:tc>
        <w:tc>
          <w:tcPr>
            <w:tcW w:w="45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4.71</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3.950% Senior Secured Notes due 2062 (incorporated by reference to Exhibit 4.5 to the Current Report on Form 8-K filed by</w:t>
              </w:r>
            </w:hyperlink>
          </w:p>
        </w:tc>
      </w:tr>
      <w:tr>
        <w:trPr>
          <w:trHeight w:val="156"/>
        </w:trPr>
        <w:tc>
          <w:tcPr>
            <w:tcW w:w="126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Charter Communications, Inc. on October 12, 2021 (File No. 001-33664)).</w:t>
              </w:r>
            </w:hyperlink>
          </w:p>
        </w:tc>
        <w:tc>
          <w:tcPr>
            <w:tcW w:w="45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Eighth Supplemental Indenture, dated as of January 19, 2022, among CCO Holdings, LLC, CCO Holdings Capital Corp. and The Bank</w:t>
              </w:r>
            </w:hyperlink>
          </w:p>
        </w:tc>
      </w:tr>
      <w:tr>
        <w:trPr>
          <w:trHeight w:val="155"/>
        </w:trPr>
        <w:tc>
          <w:tcPr>
            <w:tcW w:w="126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60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by Charter Communications, Inc. on January 25, 2022 (File No. 001-33664)).</w:t>
              </w:r>
            </w:hyperlink>
          </w:p>
        </w:tc>
        <w:tc>
          <w:tcPr>
            <w:tcW w:w="4600" w:type="dxa"/>
            <w:vAlign w:val="bottom"/>
            <w:gridSpan w:val="18"/>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4.73</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4.750% Senior Notes due 2032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Communications, Inc. on January 25, 2022 (File No. 001-33664)).</w:t>
              </w:r>
            </w:hyperlink>
          </w:p>
        </w:tc>
        <w:tc>
          <w:tcPr>
            <w:tcW w:w="51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4.74</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Twenty-Second Supplemental Indenture, dated as of March 15, 2022, among Charter Communications Operating, LLC, Charter</w:t>
              </w:r>
            </w:hyperlink>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York Mellon Trust Company, N.A., as trustee and collateral agent. (incorporated by reference to Exhibit 4.2 to the Current Report on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1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8-K filed by Charter Communications, Inc. on March 15, 2022 (File No. 001-33664)).</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4.400% Senior Notes due 2033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Communications, Inc. on March 15, 2022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4.76</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5.250% Senior Notes due 2053 (incorporated by reference to Exhibit 4.4 to the Current Report on Form 8-K filed by Charter</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Communications, Inc. on March 15, 2022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4.77</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5.500% Senior Notes due 2063 (incorporated by reference to Exhibit 4.5 to the Current Report on Form 8-K filed by Charter</w:t>
              </w:r>
            </w:hyperlink>
          </w:p>
        </w:tc>
      </w:tr>
      <w:tr>
        <w:trPr>
          <w:trHeight w:val="155"/>
        </w:trPr>
        <w:tc>
          <w:tcPr>
            <w:tcW w:w="1260" w:type="dxa"/>
            <w:vAlign w:val="bottom"/>
          </w:tcPr>
          <w:p>
            <w:pPr>
              <w:spacing w:after="0"/>
              <w:rPr>
                <w:sz w:val="13"/>
                <w:szCs w:val="13"/>
                <w:color w:val="auto"/>
              </w:rPr>
            </w:pPr>
          </w:p>
        </w:tc>
        <w:tc>
          <w:tcPr>
            <w:tcW w:w="99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Communications, Inc. on March 15, 2022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4.78</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Ninth Supplemental Indenture, dated as of August 9, 2022, among CCO Holdings, LLC, CCO Holdings Capital Corp. and The Bank of</w:t>
              </w:r>
            </w:hyperlink>
          </w:p>
        </w:tc>
      </w:tr>
      <w:tr>
        <w:trPr>
          <w:trHeight w:val="156"/>
        </w:trPr>
        <w:tc>
          <w:tcPr>
            <w:tcW w:w="126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60" w:type="dxa"/>
            <w:vAlign w:val="bottom"/>
            <w:tcBorders>
              <w:bottom w:val="single" w:sz="8" w:color="0000FF"/>
            </w:tcBorders>
            <w:gridSpan w:val="3"/>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34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Charter Communications, Inc. on August 15, 2022 (File No. 001-33664)).</w:t>
              </w:r>
            </w:hyperlink>
          </w:p>
        </w:tc>
        <w:tc>
          <w:tcPr>
            <w:tcW w:w="4840" w:type="dxa"/>
            <w:vAlign w:val="bottom"/>
            <w:gridSpan w:val="20"/>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4.79</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6.375% Senior Notes due 2029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Communications, Inc. on August 15, 2022 (File No. 001-33664)).</w:t>
              </w:r>
            </w:hyperlink>
          </w:p>
        </w:tc>
        <w:tc>
          <w:tcPr>
            <w:tcW w:w="52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4.80</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Tenth Supplemental Indenture, dated as of February 13, 2023, among CCO Holdings, LLC, CCO Holdings Capital Corp. and The Bank</w:t>
              </w:r>
            </w:hyperlink>
          </w:p>
        </w:tc>
      </w:tr>
      <w:tr>
        <w:trPr>
          <w:trHeight w:val="155"/>
        </w:trPr>
        <w:tc>
          <w:tcPr>
            <w:tcW w:w="1260" w:type="dxa"/>
            <w:vAlign w:val="bottom"/>
          </w:tcPr>
          <w:p>
            <w:pPr>
              <w:spacing w:after="0"/>
              <w:rPr>
                <w:sz w:val="13"/>
                <w:szCs w:val="13"/>
                <w:color w:val="auto"/>
              </w:rPr>
            </w:pPr>
          </w:p>
        </w:tc>
        <w:tc>
          <w:tcPr>
            <w:tcW w:w="102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by Charter Communications, Inc. on February 16, 2023 (File No. 001-33664)).</w:t>
              </w:r>
            </w:hyperlink>
          </w:p>
        </w:tc>
        <w:tc>
          <w:tcPr>
            <w:tcW w:w="140" w:type="dxa"/>
            <w:vAlign w:val="bottom"/>
            <w:gridSpan w:val="7"/>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4.81</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7.375% Senior Notes due 2031 (incorporated by reference to Exhibit 4.2 to the Current Report on Form 8-K filed by Charter</w:t>
              </w:r>
            </w:hyperlink>
          </w:p>
        </w:tc>
      </w:tr>
      <w:tr>
        <w:trPr>
          <w:trHeight w:val="155"/>
        </w:trPr>
        <w:tc>
          <w:tcPr>
            <w:tcW w:w="1260" w:type="dxa"/>
            <w:vAlign w:val="bottom"/>
          </w:tcPr>
          <w:p>
            <w:pPr>
              <w:spacing w:after="0"/>
              <w:rPr>
                <w:sz w:val="13"/>
                <w:szCs w:val="13"/>
                <w:color w:val="auto"/>
              </w:rPr>
            </w:pPr>
          </w:p>
        </w:tc>
        <w:tc>
          <w:tcPr>
            <w:tcW w:w="99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Communications, Inc. on February 16, 2023 (File No. 001-33664)).</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4.82*</w:t>
            </w:r>
          </w:p>
        </w:tc>
        <w:tc>
          <w:tcPr>
            <w:tcW w:w="10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Twenty-Third Supplemental Indenture, dated as of November 7, 2023, among Charter Communications Operating, LLC, Charter</w:t>
            </w:r>
          </w:p>
        </w:tc>
      </w:tr>
      <w:tr>
        <w:trPr>
          <w:trHeight w:val="155"/>
        </w:trPr>
        <w:tc>
          <w:tcPr>
            <w:tcW w:w="1260" w:type="dxa"/>
            <w:vAlign w:val="bottom"/>
          </w:tcPr>
          <w:p>
            <w:pPr>
              <w:spacing w:after="0"/>
              <w:rPr>
                <w:sz w:val="13"/>
                <w:szCs w:val="13"/>
                <w:color w:val="auto"/>
              </w:rPr>
            </w:pPr>
          </w:p>
        </w:tc>
        <w:tc>
          <w:tcPr>
            <w:tcW w:w="1006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p>
        </w:tc>
        <w:tc>
          <w:tcPr>
            <w:tcW w:w="160" w:type="dxa"/>
            <w:vAlign w:val="bottom"/>
            <w:gridSpan w:val="8"/>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8"/>
              </w:rPr>
              <w:t>York Mellon Trust Company, N.A., as trustee and collateral agent.</w:t>
            </w:r>
          </w:p>
        </w:tc>
        <w:tc>
          <w:tcPr>
            <w:tcW w:w="5380" w:type="dxa"/>
            <w:vAlign w:val="bottom"/>
            <w:tcBorders>
              <w:top w:val="single" w:sz="8" w:color="0000FF"/>
            </w:tcBorders>
            <w:gridSpan w:val="2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4.83</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Twenty-Fourth Supplemental Indenture, dated as of November 10, 2023, among Charter Communications Operating, LLC, Charter</w:t>
              </w:r>
            </w:hyperlink>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40" w:type="dxa"/>
            <w:vAlign w:val="bottom"/>
            <w:gridSpan w:val="1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York Mellon Trust Company, N.A., as trustee and collateral agent. (incorporated by reference to Exhibit 4.2 to the Current Report on</w:t>
              </w:r>
            </w:hyperlink>
          </w:p>
        </w:tc>
        <w:tc>
          <w:tcPr>
            <w:tcW w:w="60" w:type="dxa"/>
            <w:vAlign w:val="bottom"/>
            <w:gridSpan w:val="3"/>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Form 8-K filed by Charter Communications, Inc. on November 13, 2023 (File No. 001-33664)).</w:t>
              </w:r>
            </w:hyperlink>
          </w:p>
        </w:tc>
        <w:tc>
          <w:tcPr>
            <w:tcW w:w="3160" w:type="dxa"/>
            <w:vAlign w:val="bottom"/>
            <w:tcBorders>
              <w:top w:val="single" w:sz="8" w:color="0000FF"/>
            </w:tcBorders>
            <w:gridSpan w:val="9"/>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4.84</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6.150% Senior Notes due 2026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Communications, Inc. on November 13, 2023 (File No. 001-33664)).</w:t>
              </w:r>
            </w:hyperlink>
          </w:p>
        </w:tc>
        <w:tc>
          <w:tcPr>
            <w:tcW w:w="4960" w:type="dxa"/>
            <w:vAlign w:val="bottom"/>
            <w:tcBorders>
              <w:top w:val="single" w:sz="8" w:color="0000FF"/>
            </w:tcBorders>
            <w:gridSpan w:val="10"/>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4.85</w:t>
            </w:r>
          </w:p>
        </w:tc>
        <w:tc>
          <w:tcPr>
            <w:tcW w:w="10220" w:type="dxa"/>
            <w:vAlign w:val="bottom"/>
            <w:gridSpan w:val="29"/>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6.650% Senior Notes due 2034 (incorporated by reference to Exhibit 4.4 to the Current Report on Form 8-K filed by Charter</w:t>
              </w:r>
            </w:hyperlink>
          </w:p>
        </w:tc>
      </w:tr>
      <w:tr>
        <w:trPr>
          <w:trHeight w:val="156"/>
        </w:trPr>
        <w:tc>
          <w:tcPr>
            <w:tcW w:w="126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Communications, Inc. on November 13, 2023 (File No. 001-33664)).</w:t>
              </w:r>
            </w:hyperlink>
          </w:p>
        </w:tc>
        <w:tc>
          <w:tcPr>
            <w:tcW w:w="4960" w:type="dxa"/>
            <w:vAlign w:val="bottom"/>
            <w:tcBorders>
              <w:top w:val="single" w:sz="8" w:color="0000FF"/>
            </w:tcBorders>
            <w:gridSpan w:val="10"/>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695"/>
        </w:trPr>
        <w:tc>
          <w:tcPr>
            <w:tcW w:w="1260" w:type="dxa"/>
            <w:vAlign w:val="bottom"/>
          </w:tcPr>
          <w:p>
            <w:pPr>
              <w:spacing w:after="0"/>
              <w:rPr>
                <w:sz w:val="24"/>
                <w:szCs w:val="24"/>
                <w:color w:val="auto"/>
              </w:rPr>
            </w:pPr>
          </w:p>
        </w:tc>
        <w:tc>
          <w:tcPr>
            <w:tcW w:w="10220" w:type="dxa"/>
            <w:vAlign w:val="bottom"/>
            <w:gridSpan w:val="29"/>
          </w:tcPr>
          <w:p>
            <w:pPr>
              <w:ind w:left="4240"/>
              <w:spacing w:after="0"/>
              <w:rPr>
                <w:sz w:val="20"/>
                <w:szCs w:val="20"/>
                <w:color w:val="auto"/>
              </w:rPr>
            </w:pPr>
            <w:r>
              <w:rPr>
                <w:rFonts w:ascii="Times New Roman" w:cs="Times New Roman" w:eastAsia="Times New Roman" w:hAnsi="Times New Roman"/>
                <w:sz w:val="18"/>
                <w:szCs w:val="18"/>
                <w:color w:val="auto"/>
              </w:rPr>
              <w:t>E-5</w:t>
            </w:r>
          </w:p>
        </w:tc>
      </w:tr>
      <w:tr>
        <w:trPr>
          <w:trHeight w:val="358"/>
        </w:trPr>
        <w:tc>
          <w:tcPr>
            <w:tcW w:w="126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4.86</w:t>
            </w:r>
          </w:p>
        </w:tc>
        <w:tc>
          <w:tcPr>
            <w:tcW w:w="1036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Indenture, dated as of April 30, 1992 (the “TWCE Indenture”), as amended by the First Supplemental Indenture, dated as of June 30,</w:t>
            </w:r>
          </w:p>
        </w:tc>
      </w:tr>
      <w:tr>
        <w:trPr>
          <w:trHeight w:val="184"/>
        </w:trPr>
        <w:tc>
          <w:tcPr>
            <w:tcW w:w="1260" w:type="dxa"/>
            <w:vAlign w:val="bottom"/>
          </w:tcPr>
          <w:p>
            <w:pPr>
              <w:spacing w:after="0"/>
              <w:rPr>
                <w:sz w:val="16"/>
                <w:szCs w:val="16"/>
                <w:color w:val="auto"/>
              </w:rPr>
            </w:pPr>
          </w:p>
        </w:tc>
        <w:tc>
          <w:tcPr>
            <w:tcW w:w="10360" w:type="dxa"/>
            <w:vAlign w:val="bottom"/>
            <w:gridSpan w:val="34"/>
          </w:tcPr>
          <w:p>
            <w:pPr>
              <w:spacing w:after="0" w:line="184" w:lineRule="exact"/>
              <w:rPr>
                <w:sz w:val="20"/>
                <w:szCs w:val="20"/>
                <w:color w:val="auto"/>
              </w:rPr>
            </w:pPr>
            <w:r>
              <w:rPr>
                <w:rFonts w:ascii="Times New Roman" w:cs="Times New Roman" w:eastAsia="Times New Roman" w:hAnsi="Times New Roman"/>
                <w:sz w:val="18"/>
                <w:szCs w:val="18"/>
                <w:color w:val="auto"/>
              </w:rPr>
              <w:t>1992, among Time Warner Entertainment Company, L.P. (“TWE”), Time Warner Companies, Inc. (“TWCI”), certain of TWCI’s</w:t>
            </w:r>
          </w:p>
        </w:tc>
      </w:tr>
      <w:tr>
        <w:trPr>
          <w:trHeight w:val="180"/>
        </w:trPr>
        <w:tc>
          <w:tcPr>
            <w:tcW w:w="1260" w:type="dxa"/>
            <w:vAlign w:val="bottom"/>
          </w:tcPr>
          <w:p>
            <w:pPr>
              <w:spacing w:after="0"/>
              <w:rPr>
                <w:sz w:val="15"/>
                <w:szCs w:val="15"/>
                <w:color w:val="auto"/>
              </w:rPr>
            </w:pPr>
          </w:p>
        </w:tc>
        <w:tc>
          <w:tcPr>
            <w:tcW w:w="10360" w:type="dxa"/>
            <w:vAlign w:val="bottom"/>
            <w:gridSpan w:val="34"/>
          </w:tcPr>
          <w:p>
            <w:pPr>
              <w:spacing w:after="0" w:line="181" w:lineRule="exact"/>
              <w:rPr>
                <w:sz w:val="20"/>
                <w:szCs w:val="20"/>
                <w:color w:val="auto"/>
              </w:rPr>
            </w:pPr>
            <w:r>
              <w:rPr>
                <w:rFonts w:ascii="Times New Roman" w:cs="Times New Roman" w:eastAsia="Times New Roman" w:hAnsi="Times New Roman"/>
                <w:sz w:val="18"/>
                <w:szCs w:val="18"/>
                <w:color w:val="auto"/>
              </w:rPr>
              <w:t>subsidiaries that are parties thereto and The Bank of New York, as Trustee (incorporated herein by reference to Exhibits 10(g) and 10(h)</w:t>
            </w:r>
          </w:p>
        </w:tc>
      </w:tr>
      <w:tr>
        <w:trPr>
          <w:trHeight w:val="225"/>
        </w:trPr>
        <w:tc>
          <w:tcPr>
            <w:tcW w:w="1260" w:type="dxa"/>
            <w:vAlign w:val="bottom"/>
          </w:tcPr>
          <w:p>
            <w:pPr>
              <w:spacing w:after="0"/>
              <w:rPr>
                <w:sz w:val="19"/>
                <w:szCs w:val="19"/>
                <w:color w:val="auto"/>
              </w:rPr>
            </w:pPr>
          </w:p>
        </w:tc>
        <w:tc>
          <w:tcPr>
            <w:tcW w:w="1036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to TWCI’s Current Report on Form 8-K dated June 26, 1992 and filed with the SEC on July 15, 1992 (File No. 1-8637)). (P)</w:t>
            </w:r>
          </w:p>
        </w:tc>
      </w:tr>
      <w:tr>
        <w:trPr>
          <w:trHeight w:val="180"/>
        </w:trPr>
        <w:tc>
          <w:tcPr>
            <w:tcW w:w="12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4.87</w:t>
            </w:r>
          </w:p>
        </w:tc>
        <w:tc>
          <w:tcPr>
            <w:tcW w:w="10360" w:type="dxa"/>
            <w:vAlign w:val="bottom"/>
            <w:gridSpan w:val="34"/>
          </w:tcPr>
          <w:p>
            <w:pPr>
              <w:spacing w:after="0" w:line="181" w:lineRule="exact"/>
              <w:rPr>
                <w:sz w:val="20"/>
                <w:szCs w:val="20"/>
                <w:color w:val="auto"/>
              </w:rPr>
            </w:pPr>
            <w:r>
              <w:rPr>
                <w:rFonts w:ascii="Times New Roman" w:cs="Times New Roman" w:eastAsia="Times New Roman" w:hAnsi="Times New Roman"/>
                <w:sz w:val="18"/>
                <w:szCs w:val="18"/>
                <w:color w:val="auto"/>
              </w:rPr>
              <w:t>Second Supplemental Indenture to the TWCE Indenture, dated as of December 9, 1992, among TWE, TWCI, certain of TWCI’s</w:t>
            </w:r>
          </w:p>
        </w:tc>
      </w:tr>
      <w:tr>
        <w:trPr>
          <w:trHeight w:val="184"/>
        </w:trPr>
        <w:tc>
          <w:tcPr>
            <w:tcW w:w="1260" w:type="dxa"/>
            <w:vAlign w:val="bottom"/>
          </w:tcPr>
          <w:p>
            <w:pPr>
              <w:spacing w:after="0"/>
              <w:rPr>
                <w:sz w:val="16"/>
                <w:szCs w:val="16"/>
                <w:color w:val="auto"/>
              </w:rPr>
            </w:pPr>
          </w:p>
        </w:tc>
        <w:tc>
          <w:tcPr>
            <w:tcW w:w="10360" w:type="dxa"/>
            <w:vAlign w:val="bottom"/>
            <w:gridSpan w:val="34"/>
          </w:tcPr>
          <w:p>
            <w:pPr>
              <w:spacing w:after="0" w:line="184" w:lineRule="exact"/>
              <w:rPr>
                <w:sz w:val="20"/>
                <w:szCs w:val="20"/>
                <w:color w:val="auto"/>
              </w:rPr>
            </w:pPr>
            <w:r>
              <w:rPr>
                <w:rFonts w:ascii="Times New Roman" w:cs="Times New Roman" w:eastAsia="Times New Roman" w:hAnsi="Times New Roman"/>
                <w:sz w:val="18"/>
                <w:szCs w:val="18"/>
                <w:color w:val="auto"/>
              </w:rPr>
              <w:t>subsidiaries that are parties thereto and The Bank of New York, as Trustee (incorporated herein by reference to Exhibit 4.2 to Amendment</w:t>
            </w:r>
          </w:p>
        </w:tc>
      </w:tr>
      <w:tr>
        <w:trPr>
          <w:trHeight w:val="180"/>
        </w:trPr>
        <w:tc>
          <w:tcPr>
            <w:tcW w:w="1260" w:type="dxa"/>
            <w:vAlign w:val="bottom"/>
          </w:tcPr>
          <w:p>
            <w:pPr>
              <w:spacing w:after="0"/>
              <w:rPr>
                <w:sz w:val="15"/>
                <w:szCs w:val="15"/>
                <w:color w:val="auto"/>
              </w:rPr>
            </w:pPr>
          </w:p>
        </w:tc>
        <w:tc>
          <w:tcPr>
            <w:tcW w:w="10360" w:type="dxa"/>
            <w:vAlign w:val="bottom"/>
            <w:gridSpan w:val="34"/>
          </w:tcPr>
          <w:p>
            <w:pPr>
              <w:spacing w:after="0" w:line="181" w:lineRule="exact"/>
              <w:rPr>
                <w:sz w:val="20"/>
                <w:szCs w:val="20"/>
                <w:color w:val="auto"/>
              </w:rPr>
            </w:pPr>
            <w:r>
              <w:rPr>
                <w:rFonts w:ascii="Times New Roman" w:cs="Times New Roman" w:eastAsia="Times New Roman" w:hAnsi="Times New Roman"/>
                <w:sz w:val="18"/>
                <w:szCs w:val="18"/>
                <w:color w:val="auto"/>
              </w:rPr>
              <w:t>No. 1 to TWE’s Registration Statement on Form S-4 dated and filed with the SEC on October 25, 1993 (Registration No. 33-67688) (the</w:t>
            </w:r>
          </w:p>
        </w:tc>
      </w:tr>
      <w:tr>
        <w:trPr>
          <w:trHeight w:val="225"/>
        </w:trPr>
        <w:tc>
          <w:tcPr>
            <w:tcW w:w="1260" w:type="dxa"/>
            <w:vAlign w:val="bottom"/>
          </w:tcPr>
          <w:p>
            <w:pPr>
              <w:spacing w:after="0"/>
              <w:rPr>
                <w:sz w:val="19"/>
                <w:szCs w:val="19"/>
                <w:color w:val="auto"/>
              </w:rPr>
            </w:pPr>
          </w:p>
        </w:tc>
        <w:tc>
          <w:tcPr>
            <w:tcW w:w="1036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“TWE October 25, 1993 Registration Statement”)). (P)</w:t>
            </w:r>
          </w:p>
        </w:tc>
      </w:tr>
      <w:tr>
        <w:trPr>
          <w:trHeight w:val="180"/>
        </w:trPr>
        <w:tc>
          <w:tcPr>
            <w:tcW w:w="12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4.88</w:t>
            </w:r>
          </w:p>
        </w:tc>
        <w:tc>
          <w:tcPr>
            <w:tcW w:w="10360" w:type="dxa"/>
            <w:vAlign w:val="bottom"/>
            <w:gridSpan w:val="34"/>
          </w:tcPr>
          <w:p>
            <w:pPr>
              <w:spacing w:after="0" w:line="181" w:lineRule="exact"/>
              <w:rPr>
                <w:sz w:val="20"/>
                <w:szCs w:val="20"/>
                <w:color w:val="auto"/>
              </w:rPr>
            </w:pPr>
            <w:r>
              <w:rPr>
                <w:rFonts w:ascii="Times New Roman" w:cs="Times New Roman" w:eastAsia="Times New Roman" w:hAnsi="Times New Roman"/>
                <w:sz w:val="18"/>
                <w:szCs w:val="18"/>
                <w:color w:val="auto"/>
              </w:rPr>
              <w:t>Third Supplemental Indenture to the TWCE Indenture, dated as of October 12, 1993, among TWE, TWCI, certain of TWCI’s subsidiaries</w:t>
            </w:r>
          </w:p>
        </w:tc>
      </w:tr>
      <w:tr>
        <w:trPr>
          <w:trHeight w:val="184"/>
        </w:trPr>
        <w:tc>
          <w:tcPr>
            <w:tcW w:w="1260" w:type="dxa"/>
            <w:vAlign w:val="bottom"/>
          </w:tcPr>
          <w:p>
            <w:pPr>
              <w:spacing w:after="0"/>
              <w:rPr>
                <w:sz w:val="16"/>
                <w:szCs w:val="16"/>
                <w:color w:val="auto"/>
              </w:rPr>
            </w:pPr>
          </w:p>
        </w:tc>
        <w:tc>
          <w:tcPr>
            <w:tcW w:w="10360" w:type="dxa"/>
            <w:vAlign w:val="bottom"/>
            <w:gridSpan w:val="34"/>
          </w:tcPr>
          <w:p>
            <w:pPr>
              <w:spacing w:after="0" w:line="184" w:lineRule="exact"/>
              <w:rPr>
                <w:sz w:val="20"/>
                <w:szCs w:val="20"/>
                <w:color w:val="auto"/>
              </w:rPr>
            </w:pPr>
            <w:r>
              <w:rPr>
                <w:rFonts w:ascii="Times New Roman" w:cs="Times New Roman" w:eastAsia="Times New Roman" w:hAnsi="Times New Roman"/>
                <w:sz w:val="18"/>
                <w:szCs w:val="18"/>
                <w:color w:val="auto"/>
              </w:rPr>
              <w:t>that are parties thereto and The Bank of New York, as Trustee (incorporated herein by reference to Exhibit 4.3 to the TWE October 25,</w:t>
            </w:r>
          </w:p>
        </w:tc>
      </w:tr>
      <w:tr>
        <w:trPr>
          <w:trHeight w:val="229"/>
        </w:trPr>
        <w:tc>
          <w:tcPr>
            <w:tcW w:w="1260" w:type="dxa"/>
            <w:vAlign w:val="bottom"/>
          </w:tcPr>
          <w:p>
            <w:pPr>
              <w:spacing w:after="0"/>
              <w:rPr>
                <w:sz w:val="19"/>
                <w:szCs w:val="19"/>
                <w:color w:val="auto"/>
              </w:rPr>
            </w:pPr>
          </w:p>
        </w:tc>
        <w:tc>
          <w:tcPr>
            <w:tcW w:w="1036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1993 Registration Statement). (P)</w:t>
            </w:r>
          </w:p>
        </w:tc>
      </w:tr>
      <w:tr>
        <w:trPr>
          <w:trHeight w:val="180"/>
        </w:trPr>
        <w:tc>
          <w:tcPr>
            <w:tcW w:w="12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4.89</w:t>
            </w:r>
          </w:p>
        </w:tc>
        <w:tc>
          <w:tcPr>
            <w:tcW w:w="10360" w:type="dxa"/>
            <w:vAlign w:val="bottom"/>
            <w:gridSpan w:val="34"/>
          </w:tcPr>
          <w:p>
            <w:pPr>
              <w:spacing w:after="0" w:line="181" w:lineRule="exact"/>
              <w:rPr>
                <w:sz w:val="20"/>
                <w:szCs w:val="20"/>
                <w:color w:val="auto"/>
              </w:rPr>
            </w:pPr>
            <w:r>
              <w:rPr>
                <w:rFonts w:ascii="Times New Roman" w:cs="Times New Roman" w:eastAsia="Times New Roman" w:hAnsi="Times New Roman"/>
                <w:sz w:val="18"/>
                <w:szCs w:val="18"/>
                <w:color w:val="auto"/>
              </w:rPr>
              <w:t>Fourth Supplemental Indenture to the TWCE Indenture, dated as of March 29, 1994, among TWE, TWCI, certain of TWCI’s subsidiaries</w:t>
            </w:r>
          </w:p>
        </w:tc>
      </w:tr>
      <w:tr>
        <w:trPr>
          <w:trHeight w:val="184"/>
        </w:trPr>
        <w:tc>
          <w:tcPr>
            <w:tcW w:w="1260" w:type="dxa"/>
            <w:vAlign w:val="bottom"/>
          </w:tcPr>
          <w:p>
            <w:pPr>
              <w:spacing w:after="0"/>
              <w:rPr>
                <w:sz w:val="16"/>
                <w:szCs w:val="16"/>
                <w:color w:val="auto"/>
              </w:rPr>
            </w:pPr>
          </w:p>
        </w:tc>
        <w:tc>
          <w:tcPr>
            <w:tcW w:w="10360" w:type="dxa"/>
            <w:vAlign w:val="bottom"/>
            <w:gridSpan w:val="34"/>
          </w:tcPr>
          <w:p>
            <w:pPr>
              <w:spacing w:after="0" w:line="184" w:lineRule="exact"/>
              <w:rPr>
                <w:sz w:val="20"/>
                <w:szCs w:val="20"/>
                <w:color w:val="auto"/>
              </w:rPr>
            </w:pPr>
            <w:r>
              <w:rPr>
                <w:rFonts w:ascii="Times New Roman" w:cs="Times New Roman" w:eastAsia="Times New Roman" w:hAnsi="Times New Roman"/>
                <w:sz w:val="18"/>
                <w:szCs w:val="18"/>
                <w:color w:val="auto"/>
              </w:rPr>
              <w:t>that are parties thereto and The Bank of New York, as Trustee (incorporated herein by reference to Exhibit 4.4 to TWE’s Annual Report</w:t>
            </w:r>
          </w:p>
        </w:tc>
      </w:tr>
      <w:tr>
        <w:trPr>
          <w:trHeight w:val="230"/>
        </w:trPr>
        <w:tc>
          <w:tcPr>
            <w:tcW w:w="1260" w:type="dxa"/>
            <w:vAlign w:val="bottom"/>
          </w:tcPr>
          <w:p>
            <w:pPr>
              <w:spacing w:after="0"/>
              <w:rPr>
                <w:sz w:val="19"/>
                <w:szCs w:val="19"/>
                <w:color w:val="auto"/>
              </w:rPr>
            </w:pPr>
          </w:p>
        </w:tc>
        <w:tc>
          <w:tcPr>
            <w:tcW w:w="1036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on Form 10-K for the year ended December 31, 1993 and filed with the SEC on March 30, 1994 (File No. 1-12878)). (P)</w:t>
            </w:r>
          </w:p>
        </w:tc>
      </w:tr>
      <w:tr>
        <w:trPr>
          <w:trHeight w:val="180"/>
        </w:trPr>
        <w:tc>
          <w:tcPr>
            <w:tcW w:w="12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4.90</w:t>
            </w:r>
          </w:p>
        </w:tc>
        <w:tc>
          <w:tcPr>
            <w:tcW w:w="10360" w:type="dxa"/>
            <w:vAlign w:val="bottom"/>
            <w:gridSpan w:val="34"/>
          </w:tcPr>
          <w:p>
            <w:pPr>
              <w:spacing w:after="0" w:line="181" w:lineRule="exact"/>
              <w:rPr>
                <w:sz w:val="20"/>
                <w:szCs w:val="20"/>
                <w:color w:val="auto"/>
              </w:rPr>
            </w:pPr>
            <w:r>
              <w:rPr>
                <w:rFonts w:ascii="Times New Roman" w:cs="Times New Roman" w:eastAsia="Times New Roman" w:hAnsi="Times New Roman"/>
                <w:sz w:val="18"/>
                <w:szCs w:val="18"/>
                <w:color w:val="auto"/>
              </w:rPr>
              <w:t>Fifth Supplemental Indenture to the TWCE Indenture, dated as of December 28, 1994, among TWE, TWCI, certain of TWCI’s</w:t>
            </w:r>
          </w:p>
        </w:tc>
      </w:tr>
      <w:tr>
        <w:trPr>
          <w:trHeight w:val="184"/>
        </w:trPr>
        <w:tc>
          <w:tcPr>
            <w:tcW w:w="1260" w:type="dxa"/>
            <w:vAlign w:val="bottom"/>
          </w:tcPr>
          <w:p>
            <w:pPr>
              <w:spacing w:after="0"/>
              <w:rPr>
                <w:sz w:val="16"/>
                <w:szCs w:val="16"/>
                <w:color w:val="auto"/>
              </w:rPr>
            </w:pPr>
          </w:p>
        </w:tc>
        <w:tc>
          <w:tcPr>
            <w:tcW w:w="10360" w:type="dxa"/>
            <w:vAlign w:val="bottom"/>
            <w:gridSpan w:val="34"/>
          </w:tcPr>
          <w:p>
            <w:pPr>
              <w:spacing w:after="0" w:line="184" w:lineRule="exact"/>
              <w:rPr>
                <w:sz w:val="20"/>
                <w:szCs w:val="20"/>
                <w:color w:val="auto"/>
              </w:rPr>
            </w:pPr>
            <w:r>
              <w:rPr>
                <w:rFonts w:ascii="Times New Roman" w:cs="Times New Roman" w:eastAsia="Times New Roman" w:hAnsi="Times New Roman"/>
                <w:sz w:val="18"/>
                <w:szCs w:val="18"/>
                <w:color w:val="auto"/>
              </w:rPr>
              <w:t>subsidiaries that are parties thereto and The Bank of New York, as Trustee (incorporated herein by reference to Exhibit 4.5 to TWE’s</w:t>
            </w:r>
          </w:p>
        </w:tc>
      </w:tr>
      <w:tr>
        <w:trPr>
          <w:trHeight w:val="229"/>
        </w:trPr>
        <w:tc>
          <w:tcPr>
            <w:tcW w:w="1260" w:type="dxa"/>
            <w:vAlign w:val="bottom"/>
          </w:tcPr>
          <w:p>
            <w:pPr>
              <w:spacing w:after="0"/>
              <w:rPr>
                <w:sz w:val="19"/>
                <w:szCs w:val="19"/>
                <w:color w:val="auto"/>
              </w:rPr>
            </w:pPr>
          </w:p>
        </w:tc>
        <w:tc>
          <w:tcPr>
            <w:tcW w:w="1036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1994 and filed with the SEC on March 30, 1995 (File No. 1-12878)). (P)</w:t>
            </w:r>
          </w:p>
        </w:tc>
      </w:tr>
      <w:tr>
        <w:trPr>
          <w:trHeight w:val="194"/>
        </w:trPr>
        <w:tc>
          <w:tcPr>
            <w:tcW w:w="1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4.91</w:t>
            </w:r>
          </w:p>
        </w:tc>
        <w:tc>
          <w:tcPr>
            <w:tcW w:w="10360" w:type="dxa"/>
            <w:vAlign w:val="bottom"/>
            <w:gridSpan w:val="34"/>
          </w:tcPr>
          <w:p>
            <w:pPr>
              <w:spacing w:after="0" w:line="194"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Sixth Supplemental Indenture to the TWCE Indenture, dated as of September 29, 1997, among TWE, TWCI, certain of TWCI’s</w:t>
              </w:r>
            </w:hyperlink>
          </w:p>
        </w:tc>
      </w:tr>
      <w:tr>
        <w:trPr>
          <w:trHeight w:val="156"/>
        </w:trPr>
        <w:tc>
          <w:tcPr>
            <w:tcW w:w="1260" w:type="dxa"/>
            <w:vAlign w:val="bottom"/>
          </w:tcPr>
          <w:p>
            <w:pPr>
              <w:spacing w:after="0"/>
              <w:rPr>
                <w:sz w:val="13"/>
                <w:szCs w:val="13"/>
                <w:color w:val="auto"/>
              </w:rPr>
            </w:pPr>
          </w:p>
        </w:tc>
        <w:tc>
          <w:tcPr>
            <w:tcW w:w="102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subsidiaries that are parties thereto and The Bank of New York, as Trustee (incorporated herein by reference to Exhibit 4.7 to Historic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TW Inc.’s (“Historic TW”) Annual Report on Form 10-K for the year ended December 31, 1997 and filed with the SEC on March 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1998 (File No. 1-12259) (the “Time Warner 1997 Form 10-K”)).</w:t>
              </w:r>
            </w:hyperlink>
          </w:p>
        </w:tc>
        <w:tc>
          <w:tcPr>
            <w:tcW w:w="538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4.92</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Seventh Supplemental Indenture to the TWCE Indenture, dated as of December 29, 1997, among TWE, TWCI, certain of TWCI’s</w:t>
              </w:r>
            </w:hyperlink>
          </w:p>
        </w:tc>
      </w:tr>
      <w:tr>
        <w:trPr>
          <w:trHeight w:val="156"/>
        </w:trPr>
        <w:tc>
          <w:tcPr>
            <w:tcW w:w="126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subsidiaries that are parties thereto and The Bank of New York, as Trustee (incorporated herein by reference to Exhibit 4.8 to the Time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9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Warner 1997 Form 10-K).</w:t>
              </w:r>
            </w:hyperlink>
          </w:p>
        </w:tc>
        <w:tc>
          <w:tcPr>
            <w:tcW w:w="8300" w:type="dxa"/>
            <w:vAlign w:val="bottom"/>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4.93</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Eighth Supplemental Indenture to the TWCE Indenture, dated as of December 9, 2003, among Historic TW, TWE, Warner</w:t>
              </w:r>
            </w:hyperlink>
          </w:p>
        </w:tc>
      </w:tr>
      <w:tr>
        <w:trPr>
          <w:trHeight w:val="156"/>
        </w:trPr>
        <w:tc>
          <w:tcPr>
            <w:tcW w:w="1260" w:type="dxa"/>
            <w:vAlign w:val="bottom"/>
          </w:tcPr>
          <w:p>
            <w:pPr>
              <w:spacing w:after="0"/>
              <w:rPr>
                <w:sz w:val="13"/>
                <w:szCs w:val="13"/>
                <w:color w:val="auto"/>
              </w:rPr>
            </w:pPr>
          </w:p>
        </w:tc>
        <w:tc>
          <w:tcPr>
            <w:tcW w:w="103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Communications Inc. (“WCI”), American Television and Communications Corporation (“ATC”), TWC and The Bank of New York,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2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Trustee (incorporated herein by reference to Exhibit 4.10 to Time Warner Inc.’s (“Time Warner”) Annual Report on Form 10-K for the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year ended December 31, 2003 (File No. 1-15062)).</w:t>
              </w:r>
            </w:hyperlink>
          </w:p>
        </w:tc>
        <w:tc>
          <w:tcPr>
            <w:tcW w:w="61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4.94</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Ninth Supplemental Indenture to the TWCE Indenture, dated as of November 1, 2004, among Historic TW, TWE, Time Warner NY</w:t>
              </w:r>
            </w:hyperlink>
          </w:p>
        </w:tc>
      </w:tr>
      <w:tr>
        <w:trPr>
          <w:trHeight w:val="155"/>
        </w:trPr>
        <w:tc>
          <w:tcPr>
            <w:tcW w:w="126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Cable Inc., WCI, ATC, TWC and The Bank of New York, as Trustee (incorporated herein by reference to Exhibit 4.1 to Time Warner’s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40" w:type="dxa"/>
            <w:vAlign w:val="bottom"/>
            <w:gridSpan w:val="33"/>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Quarterly Report on Form 10-Q for the quarter ended September 30, 2004 (File No. 1-15062)).</w:t>
              </w:r>
            </w:hyperlink>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4.95</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Tenth Supplemental Indenture to the TWCE Indenture, dated as of October 18, 2006, among Historic TW, TWE, TW NY Cable Holding</w:t>
              </w:r>
            </w:hyperlink>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Inc. (“TW NY”), Time Warner NY Cable LLC (“TW NY Cable”), TWC, WCI, ATC and The Bank of New York, as Trustee</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00" w:type="dxa"/>
            <w:vAlign w:val="bottom"/>
            <w:gridSpan w:val="31"/>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(incorporated herein by reference to Exhibit 4.1 to Time Warner’s Current Report on Form 8-K dated and filed October 18, 2006 (File No.</w:t>
              </w:r>
            </w:hyperlink>
          </w:p>
        </w:tc>
        <w:tc>
          <w:tcPr>
            <w:tcW w:w="60" w:type="dxa"/>
            <w:vAlign w:val="bottom"/>
            <w:gridSpan w:val="3"/>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1-15062)).</w:t>
              </w:r>
            </w:hyperlink>
          </w:p>
        </w:tc>
        <w:tc>
          <w:tcPr>
            <w:tcW w:w="11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4.96</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Eleventh Supplemental Indenture to the TWCE Indenture, dated as of November 2, 2006, among TWE, TW NY, TWC and The Bank of</w:t>
              </w:r>
            </w:hyperlink>
          </w:p>
        </w:tc>
      </w:tr>
      <w:tr>
        <w:trPr>
          <w:trHeight w:val="156"/>
        </w:trPr>
        <w:tc>
          <w:tcPr>
            <w:tcW w:w="1260" w:type="dxa"/>
            <w:vAlign w:val="bottom"/>
          </w:tcPr>
          <w:p>
            <w:pPr>
              <w:spacing w:after="0"/>
              <w:rPr>
                <w:sz w:val="13"/>
                <w:szCs w:val="13"/>
                <w:color w:val="auto"/>
              </w:rPr>
            </w:pPr>
          </w:p>
        </w:tc>
        <w:tc>
          <w:tcPr>
            <w:tcW w:w="101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New York, as Trustee (incorporated herein by reference to Exhibit 99.1 to Time Warner’s Current Report on Form 8-K dated and filed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28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November 2, 2006 (File No. 1-15062)).</w:t>
              </w:r>
            </w:hyperlink>
          </w:p>
        </w:tc>
        <w:tc>
          <w:tcPr>
            <w:tcW w:w="7460" w:type="dxa"/>
            <w:vAlign w:val="bottom"/>
            <w:tcBorders>
              <w:top w:val="single" w:sz="8" w:color="0000FF"/>
            </w:tcBorders>
            <w:gridSpan w:val="28"/>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4.97</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Twelfth Supplemental Indenture to the TWCE Indenture, dated as of September 30, 2012, among Time Warner Cable Enterprises LLC</w:t>
              </w:r>
            </w:hyperlink>
          </w:p>
        </w:tc>
      </w:tr>
      <w:tr>
        <w:trPr>
          <w:trHeight w:val="155"/>
        </w:trPr>
        <w:tc>
          <w:tcPr>
            <w:tcW w:w="1260" w:type="dxa"/>
            <w:vAlign w:val="bottom"/>
          </w:tcPr>
          <w:p>
            <w:pPr>
              <w:spacing w:after="0"/>
              <w:rPr>
                <w:sz w:val="13"/>
                <w:szCs w:val="13"/>
                <w:color w:val="auto"/>
              </w:rPr>
            </w:pPr>
          </w:p>
        </w:tc>
        <w:tc>
          <w:tcPr>
            <w:tcW w:w="102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(“TWCE”), TWC, TW NY, Time Warner Cable Internet Holdings II LLC (“TWC Internet Holdings II”) and The Bank of New York</w:t>
              </w:r>
            </w:hyperlink>
          </w:p>
        </w:tc>
        <w:tc>
          <w:tcPr>
            <w:tcW w:w="100" w:type="dxa"/>
            <w:vAlign w:val="bottom"/>
            <w:gridSpan w:val="5"/>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Mellon, as trustee, supplementing the Indenture dated April 30, 1992, as amended (incorporated herein by reference to Exhibit 4.2 to</w:t>
              </w:r>
            </w:hyperlink>
          </w:p>
        </w:tc>
        <w:tc>
          <w:tcPr>
            <w:tcW w:w="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TWC’s Current Report on Form 8-K dated September 30, 2012 and filed with the SEC on October 1, 2012 (File No. 1-33335) (the “TWC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246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September 30, 2012 Form 8-K”)).</w:t>
              </w:r>
            </w:hyperlink>
          </w:p>
        </w:tc>
        <w:tc>
          <w:tcPr>
            <w:tcW w:w="7780" w:type="dxa"/>
            <w:vAlign w:val="bottom"/>
            <w:gridSpan w:val="25"/>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4.98</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Thirteenth Supplemental Indenture, dated as of May 18, 2016, by and among Time Warner Cable Enterprises LLC, the guarantors party</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thereto and The Bank of New York Mellon (formerly known as The Bank of New York), as trustee (incorporated by reference to Exhibit</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8580" w:type="dxa"/>
            <w:vAlign w:val="bottom"/>
            <w:tcBorders>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to the </w:t>
              </w:r>
            </w:hyperlink>
            <w:hyperlink r:id="rId137">
              <w:r>
                <w:rPr>
                  <w:rFonts w:ascii="Times New Roman" w:cs="Times New Roman" w:eastAsia="Times New Roman" w:hAnsi="Times New Roman"/>
                  <w:sz w:val="18"/>
                  <w:szCs w:val="18"/>
                  <w:color w:val="0000FF"/>
                  <w:w w:val="99"/>
                </w:rPr>
                <w:t xml:space="preserve">Current Report </w:t>
              </w:r>
            </w:hyperlink>
            <w:hyperlink r:id="rId140">
              <w:r>
                <w:rPr>
                  <w:rFonts w:ascii="Times New Roman" w:cs="Times New Roman" w:eastAsia="Times New Roman" w:hAnsi="Times New Roman"/>
                  <w:sz w:val="18"/>
                  <w:szCs w:val="18"/>
                  <w:color w:val="0000FF"/>
                  <w:w w:val="99"/>
                </w:rPr>
                <w:t>on Form 8-K filed by Charter Communications, Inc. on May 24, 2016 (File No. 001-33664)).</w:t>
              </w:r>
            </w:hyperlink>
          </w:p>
        </w:tc>
        <w:tc>
          <w:tcPr>
            <w:tcW w:w="142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10"/>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4.99</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Indenture, dated as of April 9, 2007 (the “TWC Indenture”), among TWC, TW NY, TWE and The Bank of New York, as trustee</w:t>
              </w:r>
            </w:hyperlink>
          </w:p>
        </w:tc>
      </w:tr>
      <w:tr>
        <w:trPr>
          <w:trHeight w:val="156"/>
        </w:trPr>
        <w:tc>
          <w:tcPr>
            <w:tcW w:w="1260" w:type="dxa"/>
            <w:vAlign w:val="bottom"/>
          </w:tcPr>
          <w:p>
            <w:pPr>
              <w:spacing w:after="0"/>
              <w:rPr>
                <w:sz w:val="13"/>
                <w:szCs w:val="13"/>
                <w:color w:val="auto"/>
              </w:rPr>
            </w:pPr>
          </w:p>
        </w:tc>
        <w:tc>
          <w:tcPr>
            <w:tcW w:w="100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(incorporated herein by reference to Exhibit 4.1 to TWC’s Current Report on Form 8-K dated April 4, 2007 and filed with the SEC on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2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April 9, 2007 (File No. 1-33335) (the “TWC April 4, 2007 Form 8-K”)).</w:t>
              </w:r>
            </w:hyperlink>
          </w:p>
        </w:tc>
        <w:tc>
          <w:tcPr>
            <w:tcW w:w="2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Borders>
              <w:top w:val="single" w:sz="8" w:color="0000FF"/>
            </w:tcBorders>
            <w:gridSpan w:val="2"/>
          </w:tcPr>
          <w:p>
            <w:pPr>
              <w:spacing w:after="0"/>
              <w:rPr>
                <w:sz w:val="14"/>
                <w:szCs w:val="14"/>
                <w:color w:val="auto"/>
              </w:rPr>
            </w:pPr>
          </w:p>
        </w:tc>
        <w:tc>
          <w:tcPr>
            <w:tcW w:w="3220" w:type="dxa"/>
            <w:vAlign w:val="bottom"/>
            <w:tcBorders>
              <w:top w:val="single" w:sz="8" w:color="0000FF"/>
            </w:tcBorders>
            <w:gridSpan w:val="12"/>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gridSpan w:val="10"/>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4.100</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First Supplemental Indenture to the TWC Indenture, dated as of April 9, 2007, among TWC, TW NY, TWE and The Bank of New York,</w:t>
              </w:r>
            </w:hyperlink>
          </w:p>
        </w:tc>
      </w:tr>
      <w:tr>
        <w:trPr>
          <w:trHeight w:val="155"/>
        </w:trPr>
        <w:tc>
          <w:tcPr>
            <w:tcW w:w="1260" w:type="dxa"/>
            <w:vAlign w:val="bottom"/>
          </w:tcPr>
          <w:p>
            <w:pPr>
              <w:spacing w:after="0"/>
              <w:rPr>
                <w:sz w:val="13"/>
                <w:szCs w:val="13"/>
                <w:color w:val="auto"/>
              </w:rPr>
            </w:pPr>
          </w:p>
        </w:tc>
        <w:tc>
          <w:tcPr>
            <w:tcW w:w="101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as trustee (incorporated herein by reference to Exhibit 4.2 to the TWC April 4, 2007 Form 8-K).</w:t>
              </w:r>
            </w:hyperlink>
          </w:p>
        </w:tc>
        <w:tc>
          <w:tcPr>
            <w:tcW w:w="220" w:type="dxa"/>
            <w:vAlign w:val="bottom"/>
            <w:gridSpan w:val="11"/>
          </w:tcPr>
          <w:p>
            <w:pPr>
              <w:spacing w:after="0"/>
              <w:rPr>
                <w:sz w:val="13"/>
                <w:szCs w:val="13"/>
                <w:color w:val="auto"/>
              </w:rPr>
            </w:pPr>
          </w:p>
        </w:tc>
      </w:tr>
      <w:tr>
        <w:trPr>
          <w:trHeight w:val="696"/>
        </w:trPr>
        <w:tc>
          <w:tcPr>
            <w:tcW w:w="126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160" w:type="dxa"/>
            <w:vAlign w:val="bottom"/>
            <w:tcBorders>
              <w:top w:val="single" w:sz="8" w:color="0000FF"/>
            </w:tcBorders>
            <w:gridSpan w:val="6"/>
          </w:tcPr>
          <w:p>
            <w:pPr>
              <w:ind w:left="480"/>
              <w:spacing w:after="0"/>
              <w:rPr>
                <w:sz w:val="20"/>
                <w:szCs w:val="20"/>
                <w:color w:val="auto"/>
              </w:rPr>
            </w:pPr>
            <w:r>
              <w:rPr>
                <w:rFonts w:ascii="Times New Roman" w:cs="Times New Roman" w:eastAsia="Times New Roman" w:hAnsi="Times New Roman"/>
                <w:sz w:val="18"/>
                <w:szCs w:val="18"/>
                <w:color w:val="auto"/>
              </w:rPr>
              <w:t>E-6</w:t>
            </w:r>
          </w:p>
        </w:tc>
        <w:tc>
          <w:tcPr>
            <w:tcW w:w="3440" w:type="dxa"/>
            <w:vAlign w:val="bottom"/>
            <w:gridSpan w:val="23"/>
          </w:tcPr>
          <w:p>
            <w:pPr>
              <w:spacing w:after="0"/>
              <w:rPr>
                <w:sz w:val="24"/>
                <w:szCs w:val="24"/>
                <w:color w:val="auto"/>
              </w:rPr>
            </w:pPr>
          </w:p>
        </w:tc>
      </w:tr>
      <w:tr>
        <w:trPr>
          <w:trHeight w:val="358"/>
        </w:trPr>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4.101</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Second Supplemental Indenture to the TWC Indenture, dated as of September 30, 2012, among TWC, TW NY, TWCE, TWC Internet</w:t>
              </w:r>
            </w:hyperlink>
          </w:p>
        </w:tc>
      </w:tr>
      <w:tr>
        <w:trPr>
          <w:trHeight w:val="156"/>
        </w:trPr>
        <w:tc>
          <w:tcPr>
            <w:tcW w:w="1240" w:type="dxa"/>
            <w:vAlign w:val="bottom"/>
          </w:tcPr>
          <w:p>
            <w:pPr>
              <w:spacing w:after="0"/>
              <w:rPr>
                <w:sz w:val="13"/>
                <w:szCs w:val="13"/>
                <w:color w:val="auto"/>
              </w:rPr>
            </w:pPr>
          </w:p>
        </w:tc>
        <w:tc>
          <w:tcPr>
            <w:tcW w:w="103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Holdings II and The Bank of New York Mellon, as trustee, supplementing the Indenture dated April 9, 2007, as amended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56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herein by reference to Exhibit 4.1 to the TWC September 30, 2012 Form 8-K).</w:t>
              </w:r>
            </w:hyperlink>
          </w:p>
        </w:tc>
        <w:tc>
          <w:tcPr>
            <w:tcW w:w="430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4.102</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Third Supplemental Indenture, dated as of May 18, 2016, by and among Time Warner Cable Inc., TWC NewCo LLC and The Bank of</w:t>
              </w:r>
            </w:hyperlink>
          </w:p>
        </w:tc>
      </w:tr>
      <w:tr>
        <w:trPr>
          <w:trHeight w:val="156"/>
        </w:trPr>
        <w:tc>
          <w:tcPr>
            <w:tcW w:w="124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New York Mellon (formerly known as The Bank of New York), as trustee (incorporated by reference to Exhibit 4.5 to the Current Report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20" w:type="dxa"/>
            <w:vAlign w:val="bottom"/>
            <w:gridSpan w:val="25"/>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on Form 8-K filed by Charter Communications, Inc. on May 24, 2016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4.103</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Fourth Supplemental Indenture, dated as of May 18, 2016, by and among TWC NewCo LLC, the guarantors party thereto and The Bank</w:t>
              </w:r>
            </w:hyperlink>
          </w:p>
        </w:tc>
      </w:tr>
      <w:tr>
        <w:trPr>
          <w:trHeight w:val="155"/>
        </w:trPr>
        <w:tc>
          <w:tcPr>
            <w:tcW w:w="1240" w:type="dxa"/>
            <w:vAlign w:val="bottom"/>
          </w:tcPr>
          <w:p>
            <w:pPr>
              <w:spacing w:after="0"/>
              <w:rPr>
                <w:sz w:val="13"/>
                <w:szCs w:val="13"/>
                <w:color w:val="auto"/>
              </w:rPr>
            </w:pPr>
          </w:p>
        </w:tc>
        <w:tc>
          <w:tcPr>
            <w:tcW w:w="102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of New York Mellon (formerly known as The Bank of New York), as trustee (incorporated by reference to Exhibit 4.6 to the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0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 xml:space="preserve">Report </w:t>
              </w:r>
            </w:hyperlink>
            <w:hyperlink r:id="rId147">
              <w:r>
                <w:rPr>
                  <w:rFonts w:ascii="Times New Roman" w:cs="Times New Roman" w:eastAsia="Times New Roman" w:hAnsi="Times New Roman"/>
                  <w:sz w:val="18"/>
                  <w:szCs w:val="18"/>
                  <w:color w:val="0000FF"/>
                </w:rPr>
                <w:t>on Form 8-K filed by Charter Communications, Inc. on May 24, 2016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4.104</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TWC 6.55% Exchange Debentures due 2037 (included as Exhibit C to the First Supplemental Indenture incorporated herein by</w:t>
              </w:r>
            </w:hyperlink>
          </w:p>
        </w:tc>
      </w:tr>
      <w:tr>
        <w:trPr>
          <w:trHeight w:val="156"/>
        </w:trPr>
        <w:tc>
          <w:tcPr>
            <w:tcW w:w="124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reference to Exhibit 4.2 to the TWC April 4, 2007 Form 8-K).</w:t>
              </w:r>
            </w:hyperlink>
          </w:p>
        </w:tc>
        <w:tc>
          <w:tcPr>
            <w:tcW w:w="55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4.105</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TWC 7.30% Debentures due 2038 (incorporated herein by reference to Exhibit 4.3 to the TWC June 16, 2008 Form 8-K).</w:t>
              </w:r>
            </w:hyperlink>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4.106</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TWC 6.75% Debentures due 2039 (incorporated herein by reference to Exhibit 4.1 to TWC’s Current Report on Form 8-K dated</w:t>
              </w:r>
            </w:hyperlink>
          </w:p>
        </w:tc>
      </w:tr>
      <w:tr>
        <w:trPr>
          <w:trHeight w:val="156"/>
        </w:trPr>
        <w:tc>
          <w:tcPr>
            <w:tcW w:w="124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June 24, 2009 and filed with the SEC on June 29, 2009 (File No. 1-33335)).</w:t>
              </w:r>
            </w:hyperlink>
          </w:p>
        </w:tc>
        <w:tc>
          <w:tcPr>
            <w:tcW w:w="45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4.107</w:t>
            </w:r>
          </w:p>
        </w:tc>
        <w:tc>
          <w:tcPr>
            <w:tcW w:w="98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Form of TWC 5.875% Debentures due 2040 (incorporated herein by reference to Exhibit 4.2 to the TWC November 9, 2010 Form 8-K).</w:t>
              </w:r>
            </w:hyperlink>
          </w:p>
        </w:tc>
        <w:tc>
          <w:tcPr>
            <w:tcW w:w="560" w:type="dxa"/>
            <w:vAlign w:val="bottom"/>
            <w:gridSpan w:val="24"/>
          </w:tcPr>
          <w:p>
            <w:pPr>
              <w:spacing w:after="0"/>
              <w:rPr>
                <w:sz w:val="19"/>
                <w:szCs w:val="19"/>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4.108</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TWC 5.75% Note due 2031 (incorporated herein by reference to Exhibit 4.1 to TWC’s Current Report on Form 8-K dated and</w:t>
              </w:r>
            </w:hyperlink>
          </w:p>
        </w:tc>
      </w:tr>
      <w:tr>
        <w:trPr>
          <w:trHeight w:val="155"/>
        </w:trPr>
        <w:tc>
          <w:tcPr>
            <w:tcW w:w="124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filed with the SEC on May 26, 2011 (File No. 1-33335)).</w:t>
              </w:r>
            </w:hyperlink>
          </w:p>
        </w:tc>
        <w:tc>
          <w:tcPr>
            <w:tcW w:w="622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4.109</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TWC 5.5% Debenture due 2041 (incorporated herein by reference to Exhibit 4.2 to the TWC Current Report on Form 8-K dated</w:t>
              </w:r>
            </w:hyperlink>
          </w:p>
        </w:tc>
      </w:tr>
      <w:tr>
        <w:trPr>
          <w:trHeight w:val="156"/>
        </w:trPr>
        <w:tc>
          <w:tcPr>
            <w:tcW w:w="124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September 7, 2011 and filed with the SEC on September 12, 2011 (File No. 1-33335)).</w:t>
              </w:r>
            </w:hyperlink>
          </w:p>
        </w:tc>
        <w:tc>
          <w:tcPr>
            <w:tcW w:w="36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4.110</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TWC 4.5% Debenture due 2042 (incorporated herein by reference to Exhibit 4.1 to TWC’s Current Report on Form 8-K dated</w:t>
              </w:r>
            </w:hyperlink>
          </w:p>
        </w:tc>
      </w:tr>
      <w:tr>
        <w:trPr>
          <w:trHeight w:val="155"/>
        </w:trPr>
        <w:tc>
          <w:tcPr>
            <w:tcW w:w="1240" w:type="dxa"/>
            <w:vAlign w:val="bottom"/>
          </w:tcPr>
          <w:p>
            <w:pPr>
              <w:spacing w:after="0"/>
              <w:rPr>
                <w:sz w:val="13"/>
                <w:szCs w:val="13"/>
                <w:color w:val="auto"/>
              </w:rPr>
            </w:pPr>
          </w:p>
        </w:tc>
        <w:tc>
          <w:tcPr>
            <w:tcW w:w="101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August 7, 2012 and filed with the SEC on August 10, 2012 (File No. 1-33335)).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4.111</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TWC 5.25% Note due 2042 (incorporated herein by reference to Exhibit 4.1 to TWC’s Current Report on Form 8-K dated and</w:t>
              </w:r>
            </w:hyperlink>
          </w:p>
        </w:tc>
      </w:tr>
      <w:tr>
        <w:trPr>
          <w:trHeight w:val="156"/>
        </w:trPr>
        <w:tc>
          <w:tcPr>
            <w:tcW w:w="1240" w:type="dxa"/>
            <w:vAlign w:val="bottom"/>
          </w:tcPr>
          <w:p>
            <w:pPr>
              <w:spacing w:after="0"/>
              <w:rPr>
                <w:sz w:val="13"/>
                <w:szCs w:val="13"/>
                <w:color w:val="auto"/>
              </w:rPr>
            </w:pPr>
          </w:p>
        </w:tc>
        <w:tc>
          <w:tcPr>
            <w:tcW w:w="1034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filed with the SEC on June 27, 2012 (File No. 1-33335)).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4.112</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Description of Securities (incorporated herein by reference to Exhibit 4.104 to the Annual Report on Form 10-K filed by Charter</w:t>
              </w:r>
            </w:hyperlink>
          </w:p>
        </w:tc>
      </w:tr>
      <w:tr>
        <w:trPr>
          <w:trHeight w:val="156"/>
        </w:trPr>
        <w:tc>
          <w:tcPr>
            <w:tcW w:w="124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Communications, Inc. on January 27, 2023 (File No. 001-33664)).</w:t>
              </w:r>
            </w:hyperlink>
          </w:p>
        </w:tc>
        <w:tc>
          <w:tcPr>
            <w:tcW w:w="552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Exchange and Registration Rights Agreement, dated July 23, 2015 relating to the 3.579% Senior Secured Notes due 2020, 4.464% Senior</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Secured Notes due 2022, 4.908% Senior Secured Notes due 2025, 6.384% Senior Secured Notes due 2035, 6.484% Senior Secured Notes</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due 2045 and 6.834% Senior Secured Notes due 2055, between CCO Safari II, LLC and Goldman, Sachs &amp; Co., Credit Suisse Securities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40" w:type="dxa"/>
            <w:vAlign w:val="bottom"/>
            <w:tcBorders>
              <w:bottom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(USA) LLC, Merrill Lynch, Pierce, Fenner &amp; Smith Incorporated, Deutsche Bank Securities Inc. and UBS Securities LLC, as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360" w:type="dxa"/>
            <w:vAlign w:val="bottom"/>
            <w:gridSpan w:val="37"/>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representatives of the several Purchasers (as defined therein) (incorporated by reference to Exhibit 10.1 to the Current Report on Form 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K filed by Charter Communications, Inc. on July 27, 2015 (File No. 001-33664)).</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260" w:type="dxa"/>
            <w:vAlign w:val="bottom"/>
            <w:gridSpan w:val="7"/>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Exchange and Registration Rights Agreement, dated April 21, 2016, relating to the 5.500% Senior Notes due 2026, among CCO</w:t>
              </w:r>
            </w:hyperlink>
          </w:p>
        </w:tc>
      </w:tr>
      <w:tr>
        <w:trPr>
          <w:trHeight w:val="155"/>
        </w:trPr>
        <w:tc>
          <w:tcPr>
            <w:tcW w:w="1240" w:type="dxa"/>
            <w:vAlign w:val="bottom"/>
          </w:tcPr>
          <w:p>
            <w:pPr>
              <w:spacing w:after="0"/>
              <w:rPr>
                <w:sz w:val="13"/>
                <w:szCs w:val="13"/>
                <w:color w:val="auto"/>
              </w:rPr>
            </w:pPr>
          </w:p>
        </w:tc>
        <w:tc>
          <w:tcPr>
            <w:tcW w:w="103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Holdings, LLC, CCO Holdings Capital Corp., Charter Communications, Inc., as guarantor, and Merrill Lynch, Pierce, Fenner &amp; Smith</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00" w:type="dxa"/>
            <w:vAlign w:val="bottom"/>
            <w:tcBorders>
              <w:top w:val="single" w:sz="8" w:color="0000FF"/>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Incorporated, Citigroup Global Markets Inc., Credit Suisse Securities (USA) LLC, Deutsche Bank Securities Inc., Goldman, Sachs &amp; Co.,</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380" w:type="dxa"/>
            <w:vAlign w:val="bottom"/>
            <w:gridSpan w:val="38"/>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UBS Securities LLC and Wells Fargo Securities, LLC, as representatives of the several Purchasers (as defined therein) (incorporated by</w:t>
              </w:r>
            </w:hyperlink>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2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reference to Exhibit 10.1 to the Current Report on Form 8-K filed by Charter Communications, Inc. on April 27, 2016 (File No. 001-</w:t>
              </w:r>
            </w:hyperlink>
          </w:p>
        </w:tc>
        <w:tc>
          <w:tcPr>
            <w:tcW w:w="120" w:type="dxa"/>
            <w:vAlign w:val="bottom"/>
            <w:gridSpan w:val="6"/>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57">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35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Exchange and Registration Rights Agreement, dated February 6, 2017, relating to the 5.125% Senior Notes due 2027, among CCO</w:t>
              </w:r>
            </w:hyperlink>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Holdings, LLC, CCO Holdings Capital Corp., and Merrill Lynch, Pierce, Fenner &amp; Smith Incorporated, Citigroup Global Markets Inc.,</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60" w:type="dxa"/>
            <w:vAlign w:val="bottom"/>
            <w:gridSpan w:val="32"/>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Credit Suisse Securities (USA) LLC, Deutsche Bank Securities Inc., Goldman, Sachs &amp; Co., UBS Securities LLC, and Wells Fargo</w:t>
              </w:r>
            </w:hyperlink>
          </w:p>
        </w:tc>
        <w:tc>
          <w:tcPr>
            <w:tcW w:w="140" w:type="dxa"/>
            <w:vAlign w:val="bottom"/>
            <w:gridSpan w:val="7"/>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Securities, LLC, as representatives of the several Purchasers (as defined therein) (incorporated by reference to Exhibit 10.1 to the Current</w:t>
              </w:r>
            </w:hyperlink>
          </w:p>
        </w:tc>
        <w:tc>
          <w:tcPr>
            <w:tcW w:w="40" w:type="dxa"/>
            <w:vAlign w:val="bottom"/>
            <w:gridSpan w:val="2"/>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Report on Form 8-K filed by Charter Communications, Inc. on February 6, 2017 (File No. 001-33664)).</w:t>
              </w:r>
            </w:hyperlink>
          </w:p>
        </w:tc>
        <w:tc>
          <w:tcPr>
            <w:tcW w:w="2560" w:type="dxa"/>
            <w:vAlign w:val="bottom"/>
            <w:tcBorders>
              <w:top w:val="single" w:sz="8" w:color="0000FF"/>
            </w:tcBorders>
            <w:gridSpan w:val="9"/>
          </w:tcPr>
          <w:p>
            <w:pPr>
              <w:spacing w:after="0"/>
              <w:rPr>
                <w:sz w:val="13"/>
                <w:szCs w:val="13"/>
                <w:color w:val="auto"/>
              </w:rPr>
            </w:pPr>
          </w:p>
        </w:tc>
        <w:tc>
          <w:tcPr>
            <w:tcW w:w="100" w:type="dxa"/>
            <w:vAlign w:val="bottom"/>
            <w:gridSpan w:val="5"/>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Exchange and Registration Rights Agreement, dated March 29, 2017, relating to the 5.125% Senior Notes due 2027, among CCO</w:t>
              </w:r>
            </w:hyperlink>
          </w:p>
        </w:tc>
      </w:tr>
      <w:tr>
        <w:trPr>
          <w:trHeight w:val="155"/>
        </w:trPr>
        <w:tc>
          <w:tcPr>
            <w:tcW w:w="1240" w:type="dxa"/>
            <w:vAlign w:val="bottom"/>
          </w:tcPr>
          <w:p>
            <w:pPr>
              <w:spacing w:after="0"/>
              <w:rPr>
                <w:sz w:val="13"/>
                <w:szCs w:val="13"/>
                <w:color w:val="auto"/>
              </w:rPr>
            </w:pPr>
          </w:p>
        </w:tc>
        <w:tc>
          <w:tcPr>
            <w:tcW w:w="101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Holdings, LLC, CCO Holdings Capital Corp., and Deutsche Bank Securities Inc., Merrill Lynch, Pierce, Fenner &amp; Smith Incorporated,</w:t>
              </w:r>
            </w:hyperlink>
          </w:p>
        </w:tc>
        <w:tc>
          <w:tcPr>
            <w:tcW w:w="240" w:type="dxa"/>
            <w:vAlign w:val="bottom"/>
            <w:gridSpan w:val="1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6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Citigroup Global Markets Inc., Credit Suisse Securities (USA) LLC, Goldman, Sachs &amp; Co., UBS Securities LLC, and Wells Fargo</w:t>
              </w:r>
            </w:hyperlink>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99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Securities, LLC, as representatives of the several Purchasers (as defined therein) (incorporated by reference to Exhibit 10.1 to the Current</w:t>
              </w:r>
            </w:hyperlink>
          </w:p>
        </w:tc>
        <w:tc>
          <w:tcPr>
            <w:tcW w:w="180" w:type="dxa"/>
            <w:vAlign w:val="bottom"/>
            <w:gridSpan w:val="9"/>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0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Report on Form 8-K filed by Charter Communications, Inc. on March 31, 2017 (File No. 001-33664)).</w:t>
              </w:r>
            </w:hyperlink>
          </w:p>
        </w:tc>
        <w:tc>
          <w:tcPr>
            <w:tcW w:w="100" w:type="dxa"/>
            <w:vAlign w:val="bottom"/>
            <w:gridSpan w:val="5"/>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7400" w:type="dxa"/>
            <w:vAlign w:val="bottom"/>
            <w:gridSpan w:val="12"/>
            <w:shd w:val="clear" w:color="auto" w:fill="0000FF"/>
          </w:tcPr>
          <w:p>
            <w:pPr>
              <w:spacing w:after="0" w:line="20" w:lineRule="exact"/>
              <w:rPr>
                <w:sz w:val="1"/>
                <w:szCs w:val="1"/>
                <w:color w:val="auto"/>
              </w:rPr>
            </w:pPr>
          </w:p>
        </w:tc>
        <w:tc>
          <w:tcPr>
            <w:tcW w:w="2760" w:type="dxa"/>
            <w:vAlign w:val="bottom"/>
            <w:gridSpan w:val="15"/>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00" w:type="dxa"/>
            <w:vAlign w:val="bottom"/>
            <w:gridSpan w:val="39"/>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Exchange and Registration Rights Agreement, dated April 20, 2017, relating to the 5.125% Senior Notes due 2027, among CCO</w:t>
              </w:r>
            </w:hyperlink>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Holdings, LLC, CCO Holdings Capital Corp. and Citigroup Global Markets Inc., as a representative of the several Purchasers (as defined</w:t>
              </w:r>
            </w:hyperlink>
          </w:p>
        </w:tc>
        <w:tc>
          <w:tcPr>
            <w:tcW w:w="120" w:type="dxa"/>
            <w:vAlign w:val="bottom"/>
            <w:tcBorders>
              <w:top w:val="single" w:sz="8" w:color="0000FF"/>
            </w:tcBorders>
            <w:gridSpan w:val="6"/>
          </w:tcPr>
          <w:p>
            <w:pPr>
              <w:spacing w:after="0"/>
              <w:rPr>
                <w:sz w:val="13"/>
                <w:szCs w:val="13"/>
                <w:color w:val="auto"/>
              </w:rPr>
            </w:pPr>
          </w:p>
        </w:tc>
        <w:tc>
          <w:tcPr>
            <w:tcW w:w="100" w:type="dxa"/>
            <w:vAlign w:val="bottom"/>
            <w:gridSpan w:val="5"/>
          </w:tcPr>
          <w:p>
            <w:pPr>
              <w:spacing w:after="0"/>
              <w:rPr>
                <w:sz w:val="13"/>
                <w:szCs w:val="13"/>
                <w:color w:val="auto"/>
              </w:rPr>
            </w:pPr>
          </w:p>
        </w:tc>
      </w:tr>
    </w:tbl>
    <w:p>
      <w:pPr>
        <w:ind w:left="1240"/>
        <w:spacing w:after="0" w:line="226"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therein) (incorporated by reference to Exhibit 10.1 to the Current Report on Form 8-K filed by Charter Communications, Inc. on April 26,</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2017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360" w:type="dxa"/>
            <w:vAlign w:val="bottom"/>
            <w:gridSpan w:val="28"/>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Exchange and Registration Rights Agreement, dated April 20, 2017, relating to the 5.375% Senior Notes due 2047, among Charter</w:t>
              </w:r>
            </w:hyperlink>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Communications Operating, LLC, Charter Communications Operating Capital Corp., the guarantors party thereto and Citigroup Global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0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Markets Inc., as representative of the several Purchasers (as defined therein) (incorporated by reference to Exhibit 10.2 to the Current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732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 xml:space="preserve">Report </w:t>
              </w:r>
            </w:hyperlink>
            <w:hyperlink r:id="rId162">
              <w:r>
                <w:rPr>
                  <w:rFonts w:ascii="Times New Roman" w:cs="Times New Roman" w:eastAsia="Times New Roman" w:hAnsi="Times New Roman"/>
                  <w:sz w:val="18"/>
                  <w:szCs w:val="18"/>
                  <w:color w:val="0000FF"/>
                  <w:w w:val="99"/>
                </w:rPr>
                <w:t>on Form 8-K filed by Charter Communications, Inc. on April 26, 2017 (File No. 001-33664)).</w:t>
              </w:r>
            </w:hyperlink>
          </w:p>
        </w:tc>
        <w:tc>
          <w:tcPr>
            <w:tcW w:w="300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360" w:type="dxa"/>
            <w:vAlign w:val="bottom"/>
            <w:gridSpan w:val="28"/>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Exchange and Registration Rights Agreement, dated July 6, 2017, relating to the 3.750% Senior Notes due 2028, among Charter</w:t>
              </w:r>
            </w:hyperlink>
          </w:p>
        </w:tc>
      </w:tr>
      <w:tr>
        <w:trPr>
          <w:trHeight w:val="155"/>
        </w:trPr>
        <w:tc>
          <w:tcPr>
            <w:tcW w:w="1240" w:type="dxa"/>
            <w:vAlign w:val="bottom"/>
          </w:tcPr>
          <w:p>
            <w:pPr>
              <w:spacing w:after="0"/>
              <w:rPr>
                <w:sz w:val="13"/>
                <w:szCs w:val="13"/>
                <w:color w:val="auto"/>
              </w:rPr>
            </w:pPr>
          </w:p>
        </w:tc>
        <w:tc>
          <w:tcPr>
            <w:tcW w:w="102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Communications Operating, LLC, Charter Communications Operating Capital Corp., the guarantors party thereto and Merrill Lynch,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Pierce, Fenner &amp; Smith Incorporated, as representative of the several Purchasers (as defined therein) (incorporated by reference to Exhibit</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864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w:t>
              </w:r>
            </w:hyperlink>
            <w:hyperlink r:id="rId160">
              <w:r>
                <w:rPr>
                  <w:rFonts w:ascii="Times New Roman" w:cs="Times New Roman" w:eastAsia="Times New Roman" w:hAnsi="Times New Roman"/>
                  <w:sz w:val="18"/>
                  <w:szCs w:val="18"/>
                  <w:color w:val="0000FF"/>
                  <w:w w:val="99"/>
                </w:rPr>
                <w:t xml:space="preserve">Current Report </w:t>
              </w:r>
            </w:hyperlink>
            <w:hyperlink r:id="rId163">
              <w:r>
                <w:rPr>
                  <w:rFonts w:ascii="Times New Roman" w:cs="Times New Roman" w:eastAsia="Times New Roman" w:hAnsi="Times New Roman"/>
                  <w:sz w:val="18"/>
                  <w:szCs w:val="18"/>
                  <w:color w:val="0000FF"/>
                  <w:w w:val="99"/>
                </w:rPr>
                <w:t>on Form 8-K filed by Charter Communications, Inc. on July 12, 2017 (File No. 001-33664)).</w:t>
              </w:r>
            </w:hyperlink>
          </w:p>
        </w:tc>
        <w:tc>
          <w:tcPr>
            <w:tcW w:w="1660" w:type="dxa"/>
            <w:vAlign w:val="bottom"/>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360" w:type="dxa"/>
            <w:vAlign w:val="bottom"/>
            <w:gridSpan w:val="28"/>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Exchange and Registration Rights Agreement, dated July 6, 2017, relating to the 5.375% Senior Notes due 2047, among Charter</w:t>
              </w:r>
            </w:hyperlink>
          </w:p>
        </w:tc>
      </w:tr>
      <w:tr>
        <w:trPr>
          <w:trHeight w:val="156"/>
        </w:trPr>
        <w:tc>
          <w:tcPr>
            <w:tcW w:w="1240" w:type="dxa"/>
            <w:vAlign w:val="bottom"/>
          </w:tcPr>
          <w:p>
            <w:pPr>
              <w:spacing w:after="0"/>
              <w:rPr>
                <w:sz w:val="13"/>
                <w:szCs w:val="13"/>
                <w:color w:val="auto"/>
              </w:rPr>
            </w:pPr>
          </w:p>
        </w:tc>
        <w:tc>
          <w:tcPr>
            <w:tcW w:w="102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Communications Operating, LLC, Charter Communications Operating Capital Corp., the guarantors party thereto and Merrill Lynch,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Pierce, Fenner &amp; Smith Incorporated, as representative of the several Purchasers (as defined therein) (incorporated by reference to Exhibit</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864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w:t>
              </w:r>
            </w:hyperlink>
            <w:hyperlink r:id="rId160">
              <w:r>
                <w:rPr>
                  <w:rFonts w:ascii="Times New Roman" w:cs="Times New Roman" w:eastAsia="Times New Roman" w:hAnsi="Times New Roman"/>
                  <w:sz w:val="18"/>
                  <w:szCs w:val="18"/>
                  <w:color w:val="0000FF"/>
                  <w:w w:val="99"/>
                </w:rPr>
                <w:t xml:space="preserve">Current Report </w:t>
              </w:r>
            </w:hyperlink>
            <w:hyperlink r:id="rId164">
              <w:r>
                <w:rPr>
                  <w:rFonts w:ascii="Times New Roman" w:cs="Times New Roman" w:eastAsia="Times New Roman" w:hAnsi="Times New Roman"/>
                  <w:sz w:val="18"/>
                  <w:szCs w:val="18"/>
                  <w:color w:val="0000FF"/>
                  <w:w w:val="99"/>
                </w:rPr>
                <w:t>on Form 8-K filed by Charter Communications, Inc. on July 12, 2017 (File No. 001-33664)).</w:t>
              </w:r>
            </w:hyperlink>
          </w:p>
        </w:tc>
        <w:tc>
          <w:tcPr>
            <w:tcW w:w="1660" w:type="dxa"/>
            <w:vAlign w:val="bottom"/>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360" w:type="dxa"/>
            <w:vAlign w:val="bottom"/>
            <w:gridSpan w:val="28"/>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Exchange and Registration Rights Agreement, dated August 8, 2017, relating to the 5.000% Senior Notes due 2028, among CCO</w:t>
              </w:r>
            </w:hyperlink>
          </w:p>
        </w:tc>
      </w:tr>
      <w:tr>
        <w:trPr>
          <w:trHeight w:val="156"/>
        </w:trPr>
        <w:tc>
          <w:tcPr>
            <w:tcW w:w="124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Holdings, LLC, CCO Holdings Capital Corp. and Merrill Lynch, Pierce, Fenner &amp; Smith Incorporated, as representative of the several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40" w:type="dxa"/>
            <w:vAlign w:val="bottom"/>
            <w:gridSpan w:val="27"/>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Purchasers (as defined therein) (incorporated by reference to Exhibit 10.1 to the Current Report on Form 8-K filed by Charter</w:t>
              </w:r>
            </w:hyperlink>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Communications, Inc. on August 14, 2017 (File No. 001-33664)).</w:t>
              </w:r>
            </w:hyperlink>
          </w:p>
        </w:tc>
        <w:tc>
          <w:tcPr>
            <w:tcW w:w="53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360" w:type="dxa"/>
            <w:vAlign w:val="bottom"/>
            <w:gridSpan w:val="28"/>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Exchange and Registration Rights Agreement, dated September 18, 2017, relating to the 4.200% Senior Secured Notes due 2028, among</w:t>
              </w:r>
            </w:hyperlink>
          </w:p>
        </w:tc>
      </w:tr>
      <w:tr>
        <w:trPr>
          <w:trHeight w:val="156"/>
        </w:trPr>
        <w:tc>
          <w:tcPr>
            <w:tcW w:w="124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Charter Communications Operating, LLC, Charter Communications Operating Capital Corp., the guarantors party thereto and Merrill</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Lynch, Pierce, Fenner &amp; Smith Incorporated and Citigroup Global Markets Inc., as representatives of the several Purchasers (as defined</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60" w:type="dxa"/>
            <w:vAlign w:val="bottom"/>
            <w:gridSpan w:val="18"/>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therein) (incorporated by reference to Exhibit 10.1 to the Current Report on Form 8-K filed by Charter Communications, Inc.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September 21, 2017 (File No. 001-33664)).</w:t>
              </w:r>
            </w:hyperlink>
          </w:p>
        </w:tc>
        <w:tc>
          <w:tcPr>
            <w:tcW w:w="69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360" w:type="dxa"/>
            <w:vAlign w:val="bottom"/>
            <w:gridSpan w:val="28"/>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Exchange and Registration Rights Agreement, dated September 18, 2017, relating to the 5.375% Senior Secured Notes due 2047, among</w:t>
              </w:r>
            </w:hyperlink>
          </w:p>
        </w:tc>
      </w:tr>
      <w:tr>
        <w:trPr>
          <w:trHeight w:val="155"/>
        </w:trPr>
        <w:tc>
          <w:tcPr>
            <w:tcW w:w="1240" w:type="dxa"/>
            <w:vAlign w:val="bottom"/>
          </w:tcPr>
          <w:p>
            <w:pPr>
              <w:spacing w:after="0"/>
              <w:rPr>
                <w:sz w:val="13"/>
                <w:szCs w:val="13"/>
                <w:color w:val="auto"/>
              </w:rPr>
            </w:pPr>
          </w:p>
        </w:tc>
        <w:tc>
          <w:tcPr>
            <w:tcW w:w="100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Charter Communications Operating, LLC, Charter Communications Operating Capital Corp., the guarantors party thereto and Merrill</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Lynch, Pierce, Fenner &amp; Smith Incorporated and Citigroup Global Markets Inc., as representatives of the several Purchasers (as defined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therein) (incorporated by reference to Exhibit 10.2 to the Current Report on Form 8-K filed by Charter Communications, Inc.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September 21, 2017 (File No. 001-33664)).</w:t>
              </w:r>
            </w:hyperlink>
          </w:p>
        </w:tc>
        <w:tc>
          <w:tcPr>
            <w:tcW w:w="69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360" w:type="dxa"/>
            <w:vAlign w:val="bottom"/>
            <w:gridSpan w:val="28"/>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Exchange and Registration Rights Agreement, dated October 17, 2017, relating to the 5.000% Senior Notes due 2028, among CCO</w:t>
              </w:r>
            </w:hyperlink>
          </w:p>
        </w:tc>
      </w:tr>
      <w:tr>
        <w:trPr>
          <w:trHeight w:val="156"/>
        </w:trPr>
        <w:tc>
          <w:tcPr>
            <w:tcW w:w="1240" w:type="dxa"/>
            <w:vAlign w:val="bottom"/>
          </w:tcPr>
          <w:p>
            <w:pPr>
              <w:spacing w:after="0"/>
              <w:rPr>
                <w:sz w:val="13"/>
                <w:szCs w:val="13"/>
                <w:color w:val="auto"/>
              </w:rPr>
            </w:pPr>
          </w:p>
        </w:tc>
        <w:tc>
          <w:tcPr>
            <w:tcW w:w="102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Holdings, LLC, CCO Holdings Capital Corp. and Merrill Lynch, Pierce, Fenner &amp; Smith Incorporated, as representative of the several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4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Purchasers (as defined therein) (incorporated by reference to Exhibit 10.1 to the Current Report on Form 8-K filed by Charter</w:t>
              </w:r>
            </w:hyperlink>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Communications, Inc. on October 20, 2017 (File No. 001-33664)).</w:t>
              </w:r>
            </w:hyperlink>
          </w:p>
        </w:tc>
        <w:tc>
          <w:tcPr>
            <w:tcW w:w="5300" w:type="dxa"/>
            <w:vAlign w:val="bottom"/>
            <w:tcBorders>
              <w:top w:val="single" w:sz="8" w:color="0000FF"/>
            </w:tcBorders>
            <w:gridSpan w:val="11"/>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360" w:type="dxa"/>
            <w:vAlign w:val="bottom"/>
            <w:gridSpan w:val="28"/>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Exchange and Registration Rights Agreement, dated May 23, 2019, relating to the 5.375% Senior Notes due 2029, among CCO Holdings,</w:t>
              </w:r>
            </w:hyperlink>
          </w:p>
        </w:tc>
      </w:tr>
      <w:tr>
        <w:trPr>
          <w:trHeight w:val="155"/>
        </w:trPr>
        <w:tc>
          <w:tcPr>
            <w:tcW w:w="1240" w:type="dxa"/>
            <w:vAlign w:val="bottom"/>
          </w:tcPr>
          <w:p>
            <w:pPr>
              <w:spacing w:after="0"/>
              <w:rPr>
                <w:sz w:val="13"/>
                <w:szCs w:val="13"/>
                <w:color w:val="auto"/>
              </w:rPr>
            </w:pPr>
          </w:p>
        </w:tc>
        <w:tc>
          <w:tcPr>
            <w:tcW w:w="1022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LLC, CCO Holdings Capital Corp. and Deutsche Bank Securities Inc., as representative of the several Purchasers (as defined therein)</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40" w:type="dxa"/>
            <w:vAlign w:val="bottom"/>
            <w:gridSpan w:val="22"/>
          </w:tcPr>
          <w:p>
            <w:pPr>
              <w:spacing w:after="0" w:line="16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(incorporated by reference to Exhibit 10.1 to the Current Report on Form 8-K filed by Charter Communications, Inc. on May 30, 2019</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(File No. 001-33664)).</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360" w:type="dxa"/>
            <w:vAlign w:val="bottom"/>
            <w:gridSpan w:val="28"/>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Exchange and Registration Rights Agreement, dated July 10, 2019, relating to the 5.375% Senior Notes due 2029, among CCO Holdings,</w:t>
              </w:r>
            </w:hyperlink>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LLC, CCO Holdings Capital Corp. and Deutsche Bank Securities Inc., as representative of the several Purchasers (as defined therein)</w:t>
              </w:r>
            </w:hyperlink>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4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(incorporated by reference to Exhibit 10.1 to the Current Report on Form 8-K filed by Charter Communications, Inc. on July 10, 2019</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80" w:type="dxa"/>
            <w:vAlign w:val="bottom"/>
            <w:gridSpan w:val="7"/>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360" w:type="dxa"/>
            <w:vAlign w:val="bottom"/>
            <w:gridSpan w:val="28"/>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Exchange and Registration Rights Agreement, dated October 1, 2019, relating to the 4.750% Senior Notes due 2030, among CCO</w:t>
              </w:r>
            </w:hyperlink>
          </w:p>
        </w:tc>
      </w:tr>
      <w:tr>
        <w:trPr>
          <w:trHeight w:val="155"/>
        </w:trPr>
        <w:tc>
          <w:tcPr>
            <w:tcW w:w="1240" w:type="dxa"/>
            <w:vAlign w:val="bottom"/>
          </w:tcPr>
          <w:p>
            <w:pPr>
              <w:spacing w:after="0"/>
              <w:rPr>
                <w:sz w:val="13"/>
                <w:szCs w:val="13"/>
                <w:color w:val="auto"/>
              </w:rPr>
            </w:pPr>
          </w:p>
        </w:tc>
        <w:tc>
          <w:tcPr>
            <w:tcW w:w="103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Holdings, LLC, CCO Holdings Capital Corp. and BofA Securities, Inc., as representative of the several Purchasers (as defined therein)</w:t>
              </w:r>
            </w:hyperlink>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0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(incorporated by reference to Exhibit 10.1 to the Current Report on Form 8-K filed by Charter Communications, Inc. on October 7, 2019</w:t>
              </w:r>
            </w:hyperlink>
          </w:p>
        </w:tc>
        <w:tc>
          <w:tcPr>
            <w:tcW w:w="180" w:type="dxa"/>
            <w:vAlign w:val="bottom"/>
            <w:gridSpan w:val="9"/>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99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(File No. 001-33664)).</w:t>
              </w:r>
            </w:hyperlink>
          </w:p>
        </w:tc>
        <w:tc>
          <w:tcPr>
            <w:tcW w:w="200" w:type="dxa"/>
            <w:vAlign w:val="bottom"/>
            <w:gridSpan w:val="10"/>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80" w:type="dxa"/>
            <w:vAlign w:val="bottom"/>
            <w:gridSpan w:val="1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360" w:type="dxa"/>
            <w:vAlign w:val="bottom"/>
            <w:gridSpan w:val="28"/>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Exchange and Registration Rights Agreement, dated October 24, 2019, relating to the 4.750% Senior Notes due 2030, among CCO</w:t>
              </w:r>
            </w:hyperlink>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Holdings, LLC, CCO Holdings Capital Corp. and BofA Securities, Inc., as representative of the several Purchasers (as defined therein)</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0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(incorporated by reference to Exhibit 10.1 to the Current Report on Form 8-K filed by Charter Communications, Inc. on October 30, 2019</w:t>
              </w:r>
            </w:hyperlink>
          </w:p>
        </w:tc>
        <w:tc>
          <w:tcPr>
            <w:tcW w:w="280" w:type="dxa"/>
            <w:vAlign w:val="bottom"/>
            <w:tcBorders>
              <w:bottom w:val="single" w:sz="8" w:color="0000FF"/>
            </w:tcBorders>
            <w:gridSpan w:val="14"/>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300" w:type="dxa"/>
            <w:vAlign w:val="bottom"/>
            <w:gridSpan w:val="25"/>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(File No. 001-33664)).</w:t>
              </w:r>
            </w:hyperlink>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180" w:type="dxa"/>
            <w:vAlign w:val="bottom"/>
            <w:gridSpan w:val="2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360" w:type="dxa"/>
            <w:vAlign w:val="bottom"/>
            <w:gridSpan w:val="28"/>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Exchange and Registration Rights Agreement, dated December 16, 2019, relating to the 4.750% Senior Notes due 2030, among CCO</w:t>
              </w:r>
            </w:hyperlink>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Holdings, LLC, CCO Holdings Capital Corp. and Citigroup Global Markets, Inc., as representative of the several Purchasers (as defined</w:t>
              </w:r>
            </w:hyperlink>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therein) (incorporated by reference to Exhibit 10.1 to the Current Report on Form 8-K filed by Charter Communications, Inc. on</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December 16, 2019 (File No. 001-33664)).</w:t>
              </w:r>
            </w:hyperlink>
          </w:p>
        </w:tc>
        <w:tc>
          <w:tcPr>
            <w:tcW w:w="2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7180" w:type="dxa"/>
            <w:vAlign w:val="bottom"/>
            <w:gridSpan w:val="2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360" w:type="dxa"/>
            <w:vAlign w:val="bottom"/>
            <w:gridSpan w:val="28"/>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Exchange and Registration Rights Agreement, dated February 18, 2020, relating to the 4.500% Senior Notes due 2030, among CCO</w:t>
              </w:r>
            </w:hyperlink>
          </w:p>
        </w:tc>
      </w:tr>
      <w:tr>
        <w:trPr>
          <w:trHeight w:val="155"/>
        </w:trPr>
        <w:tc>
          <w:tcPr>
            <w:tcW w:w="124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bl>
    <w:p>
      <w:pPr>
        <w:ind w:left="1240"/>
        <w:spacing w:after="0" w:line="226" w:lineRule="auto"/>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therein) (incorporated by reference to Exhibit 10.1 to the Current Report on Form 8-K filed by Charter Communications, Inc. on February</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21, 2020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460" w:type="dxa"/>
            <w:vAlign w:val="bottom"/>
            <w:gridSpan w:val="33"/>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2030 Exchange and Registration Rights Agreement, dated March 18, 2020, relating to the 4.500% Senior Notes due 2030, among CCO</w:t>
              </w:r>
            </w:hyperlink>
          </w:p>
        </w:tc>
      </w:tr>
      <w:tr>
        <w:trPr>
          <w:trHeight w:val="156"/>
        </w:trPr>
        <w:tc>
          <w:tcPr>
            <w:tcW w:w="124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20" w:type="dxa"/>
            <w:vAlign w:val="bottom"/>
            <w:gridSpan w:val="31"/>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therein) (incorporated by reference to Exhibit 10.1 to the Current Report on Form 8-K filed by Charter Communications, Inc. on March</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23, 2020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460" w:type="dxa"/>
            <w:vAlign w:val="bottom"/>
            <w:gridSpan w:val="33"/>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2032 Exchange and Registration Rights Agreement, dated March 18, 2020, relating to the 4.500% Senior Notes due 2032, among CCO</w:t>
              </w:r>
            </w:hyperlink>
          </w:p>
        </w:tc>
      </w:tr>
      <w:tr>
        <w:trPr>
          <w:trHeight w:val="156"/>
        </w:trPr>
        <w:tc>
          <w:tcPr>
            <w:tcW w:w="1240" w:type="dxa"/>
            <w:vAlign w:val="bottom"/>
          </w:tcPr>
          <w:p>
            <w:pPr>
              <w:spacing w:after="0"/>
              <w:rPr>
                <w:sz w:val="13"/>
                <w:szCs w:val="13"/>
                <w:color w:val="auto"/>
              </w:rPr>
            </w:pPr>
          </w:p>
        </w:tc>
        <w:tc>
          <w:tcPr>
            <w:tcW w:w="101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2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therein) (incorporated by reference to Exhibit 10.2 to the Current Report on Form 8-K filed by Charter Communications, Inc. on March</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23, 2020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460" w:type="dxa"/>
            <w:vAlign w:val="bottom"/>
            <w:gridSpan w:val="33"/>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Exchange and Registration Rights Agreement, dated July 9, 2020, relating to the 4.250% Senior Notes due 2031, among CCO Holdings,</w:t>
              </w:r>
            </w:hyperlink>
          </w:p>
        </w:tc>
      </w:tr>
      <w:tr>
        <w:trPr>
          <w:trHeight w:val="156"/>
        </w:trPr>
        <w:tc>
          <w:tcPr>
            <w:tcW w:w="1240" w:type="dxa"/>
            <w:vAlign w:val="bottom"/>
          </w:tcPr>
          <w:p>
            <w:pPr>
              <w:spacing w:after="0"/>
              <w:rPr>
                <w:sz w:val="13"/>
                <w:szCs w:val="13"/>
                <w:color w:val="auto"/>
              </w:rPr>
            </w:pPr>
          </w:p>
        </w:tc>
        <w:tc>
          <w:tcPr>
            <w:tcW w:w="1034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LLC, CCO Holdings Capital Corp. and Morgan Stanley &amp; Co. LLC, as representative of the several Purchasers (as defined therein)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gridSpan w:val="29"/>
          </w:tcPr>
          <w:p>
            <w:pPr>
              <w:spacing w:after="0" w:line="16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(incorporated by reference to Exhibit 10.1 to the Current Report on Form 8-K filed by Charter Communications, Inc. on July 13, 2020</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460" w:type="dxa"/>
            <w:vAlign w:val="bottom"/>
            <w:gridSpan w:val="33"/>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Exchange and Registration Rights Agreement, dated July 24, 2020, relating to the 4.250% Senior Notes due 2031, among CCO Holdings,</w:t>
              </w:r>
            </w:hyperlink>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LLC, CCO Holdings Capital Corp. and Morgan Stanley &amp; Co. LLC, as representative of the several Purchasers (as defined therein)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(incorporated by reference to Exhibit 10.1 to the Current Report on Form 8-K filed by Charter Communications, Inc. on July 28, 2020)</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2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460" w:type="dxa"/>
            <w:vAlign w:val="bottom"/>
            <w:gridSpan w:val="33"/>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Exchange and Registration Rights Agreement, dated October 12, 2020, relating to the 4.500% Senior Notes due 2032, among CCO</w:t>
              </w:r>
            </w:hyperlink>
          </w:p>
        </w:tc>
      </w:tr>
      <w:tr>
        <w:trPr>
          <w:trHeight w:val="155"/>
        </w:trPr>
        <w:tc>
          <w:tcPr>
            <w:tcW w:w="1240" w:type="dxa"/>
            <w:vAlign w:val="bottom"/>
          </w:tcPr>
          <w:p>
            <w:pPr>
              <w:spacing w:after="0"/>
              <w:rPr>
                <w:sz w:val="13"/>
                <w:szCs w:val="13"/>
                <w:color w:val="auto"/>
              </w:rPr>
            </w:pPr>
          </w:p>
        </w:tc>
        <w:tc>
          <w:tcPr>
            <w:tcW w:w="102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therein) (incorporated by reference to Exhibit 10.1 to the Current Report on Form 8-K filed by Charter Communications, Inc. on October</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80" w:type="dxa"/>
            <w:vAlign w:val="bottom"/>
            <w:gridSpan w:val="24"/>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16, 2020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460" w:type="dxa"/>
            <w:vAlign w:val="bottom"/>
            <w:gridSpan w:val="33"/>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Exchange and Registration Rights Agreement, dated April 22, 2021, relating to the 4.500% Senior Notes due 2033, among CCO</w:t>
              </w:r>
            </w:hyperlink>
          </w:p>
        </w:tc>
      </w:tr>
      <w:tr>
        <w:trPr>
          <w:trHeight w:val="156"/>
        </w:trPr>
        <w:tc>
          <w:tcPr>
            <w:tcW w:w="1240" w:type="dxa"/>
            <w:vAlign w:val="bottom"/>
          </w:tcPr>
          <w:p>
            <w:pPr>
              <w:spacing w:after="0"/>
              <w:rPr>
                <w:sz w:val="13"/>
                <w:szCs w:val="13"/>
                <w:color w:val="auto"/>
              </w:rPr>
            </w:pPr>
          </w:p>
        </w:tc>
        <w:tc>
          <w:tcPr>
            <w:tcW w:w="103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therein) (incorporated by reference to Exhibit 10.1 to the Current Report on Form 8-K filed by Charter Communications, Inc. on April 27,</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2021 (File No. 001-33664)).</w:t>
              </w:r>
            </w:hyperlink>
          </w:p>
        </w:tc>
        <w:tc>
          <w:tcPr>
            <w:tcW w:w="834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460" w:type="dxa"/>
            <w:vAlign w:val="bottom"/>
            <w:gridSpan w:val="33"/>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Exchange and Registration Rights Agreement, dated June 2, 2021, relating to the 4.500% Senior Notes due 2033, among CCO Holdings,</w:t>
              </w:r>
            </w:hyperlink>
          </w:p>
        </w:tc>
      </w:tr>
      <w:tr>
        <w:trPr>
          <w:trHeight w:val="156"/>
        </w:trPr>
        <w:tc>
          <w:tcPr>
            <w:tcW w:w="1240" w:type="dxa"/>
            <w:vAlign w:val="bottom"/>
          </w:tcPr>
          <w:p>
            <w:pPr>
              <w:spacing w:after="0"/>
              <w:rPr>
                <w:sz w:val="13"/>
                <w:szCs w:val="13"/>
                <w:color w:val="auto"/>
              </w:rPr>
            </w:pPr>
          </w:p>
        </w:tc>
        <w:tc>
          <w:tcPr>
            <w:tcW w:w="104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LLC, CCO Holdings Capital Corp. and Deutsche Bank Securities Inc., as representative of the several Purchasers (as defined therein)</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2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(incorporated by reference to Exhibit 10.1 to the Current Report on Form 8-K filed by Charter Communications, Inc. on June 2, 2021,</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2021 (File No. 001-33664)).</w:t>
              </w:r>
            </w:hyperlink>
          </w:p>
        </w:tc>
        <w:tc>
          <w:tcPr>
            <w:tcW w:w="78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460" w:type="dxa"/>
            <w:vAlign w:val="bottom"/>
            <w:gridSpan w:val="33"/>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Exchange and Registration Rights Agreement, dated August 16, 2021, relating to the 4.250% Senior Notes due 2034, among CCO</w:t>
              </w:r>
            </w:hyperlink>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Holdings, LLC, CCO Holdings Capital Corp. and Morgan Stanley &amp; Co. LLC,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2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therein) (incorporated by reference to Exhibit 10.1 to the Current Report on Form 8-K filed by Charter Communications, Inc. on August</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18, 2021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460" w:type="dxa"/>
            <w:vAlign w:val="bottom"/>
            <w:gridSpan w:val="33"/>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Exchange and Registration Rights Agreement, dated January 19, 2022, relating to the 4.750% Senior Notes due 2032, among CCO</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60" w:type="dxa"/>
            <w:vAlign w:val="bottom"/>
            <w:gridSpan w:val="18"/>
          </w:tcPr>
          <w:p>
            <w:pPr>
              <w:spacing w:after="0" w:line="16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therein). (incorporated by reference to Exhibit 10.1 to the Current Report on Form 8-K filed by Charter Communications, Inc. on January</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25, 2022 (File No. 001-33664)).</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460" w:type="dxa"/>
            <w:vAlign w:val="bottom"/>
            <w:gridSpan w:val="33"/>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Exchange and Registration Rights Agreement, dated August 9, 2022, relating to the 6.375% Senior Notes due 2029, among CCO</w:t>
              </w:r>
            </w:hyperlink>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Holdings, LLC, CCO Holdings Capital Corp. and Morgan Stanley &amp; Co. LLC, as representative of the several Purchasers (as defined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2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therein). (incorporated by reference to Exhibit 10.1 to the Current Report on Form 8-K filed by Charter Communications, Inc. on August</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15, 2022 (File No. 001-33664)).</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460" w:type="dxa"/>
            <w:vAlign w:val="bottom"/>
            <w:gridSpan w:val="33"/>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Exchange and Registration Rights Agreement, dated February 13, 2023, relating to the 7.375% Senior Notes due 2031, among CCO</w:t>
              </w:r>
            </w:hyperlink>
          </w:p>
        </w:tc>
      </w:tr>
      <w:tr>
        <w:trPr>
          <w:trHeight w:val="156"/>
        </w:trPr>
        <w:tc>
          <w:tcPr>
            <w:tcW w:w="1240" w:type="dxa"/>
            <w:vAlign w:val="bottom"/>
          </w:tcPr>
          <w:p>
            <w:pPr>
              <w:spacing w:after="0"/>
              <w:rPr>
                <w:sz w:val="13"/>
                <w:szCs w:val="13"/>
                <w:color w:val="auto"/>
              </w:rPr>
            </w:pPr>
          </w:p>
        </w:tc>
        <w:tc>
          <w:tcPr>
            <w:tcW w:w="103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Holdings, LLC, CCO Holdings Capital Corp. and Morgan Stanley &amp; Co. LLC, as representative of the several Purchasers (as defined</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4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therein) (incorporated by reference to Exhibit 10.1 to the Current Report on Form 8-K filed by Charter Communications, Inc. on February</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400" w:type="dxa"/>
            <w:vAlign w:val="bottom"/>
            <w:gridSpan w:val="30"/>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16, 2023 (File No. 001-33664)).</w:t>
              </w:r>
            </w:hyperlink>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10.30(a)</w:t>
            </w:r>
          </w:p>
        </w:tc>
        <w:tc>
          <w:tcPr>
            <w:tcW w:w="10460" w:type="dxa"/>
            <w:vAlign w:val="bottom"/>
            <w:gridSpan w:val="33"/>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Restatement Agreement dated as of May 18, 2016, by and among Charter Communications Operating, LLC, CCO Holdings, LLC, the</w:t>
              </w:r>
            </w:hyperlink>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subsidiary guarantors party thereto, Bank of America, N.A., as administrative agent and the lenders party thereto (incorporated by</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20" w:type="dxa"/>
            <w:vAlign w:val="bottom"/>
            <w:gridSpan w:val="16"/>
          </w:tcPr>
          <w:p>
            <w:pPr>
              <w:spacing w:after="0" w:line="16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reference to Exhibit 10.5 to the Current Report on Form 8-K of Charter Communications, Inc. filed on May 24, 2016 (File No. 001-</w:t>
              </w:r>
            </w:hyperlink>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87">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980" w:type="dxa"/>
            <w:vAlign w:val="bottom"/>
            <w:tcBorders>
              <w:top w:val="single" w:sz="8" w:color="0000FF"/>
            </w:tcBorders>
          </w:tcPr>
          <w:p>
            <w:pPr>
              <w:spacing w:after="0"/>
              <w:rPr>
                <w:sz w:val="13"/>
                <w:szCs w:val="13"/>
                <w:color w:val="auto"/>
              </w:rPr>
            </w:pPr>
          </w:p>
        </w:tc>
        <w:tc>
          <w:tcPr>
            <w:tcW w:w="3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10.30(b)</w:t>
            </w:r>
          </w:p>
        </w:tc>
        <w:tc>
          <w:tcPr>
            <w:tcW w:w="10460" w:type="dxa"/>
            <w:vAlign w:val="bottom"/>
            <w:gridSpan w:val="33"/>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Amendment No. 1 dated as of December 23, 2016, to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0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amended and restated on May 18, 2016, by and among Chart Communications Operating, LLC, CCO Holdings, LLC, the Lenders Party</w:t>
              </w:r>
            </w:hyperlink>
          </w:p>
        </w:tc>
        <w:tc>
          <w:tcPr>
            <w:tcW w:w="2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4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thereto and Bank of America, N.A., as Administrative Agent (incorporated by reference to Exhibit 10.1 to the Current Report on Form 8-</w:t>
              </w:r>
            </w:hyperlink>
          </w:p>
        </w:tc>
        <w:tc>
          <w:tcPr>
            <w:tcW w:w="240" w:type="dxa"/>
            <w:vAlign w:val="bottom"/>
            <w:tcBorders>
              <w:bottom w:val="single" w:sz="8" w:color="0000FF"/>
            </w:tcBorders>
            <w:gridSpan w:val="1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630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K of Charter Communications, Inc. filed on December 30, 2016 (File No. 001-33664)).</w:t>
              </w:r>
            </w:hyperlink>
          </w:p>
        </w:tc>
        <w:tc>
          <w:tcPr>
            <w:tcW w:w="4000" w:type="dxa"/>
            <w:vAlign w:val="bottom"/>
            <w:gridSpan w:val="19"/>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10.30(c)</w:t>
            </w:r>
          </w:p>
        </w:tc>
        <w:tc>
          <w:tcPr>
            <w:tcW w:w="10460" w:type="dxa"/>
            <w:vAlign w:val="bottom"/>
            <w:gridSpan w:val="33"/>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Restatement Agreement dated as of December 21, 2017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24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amended and restated on May 18, 2016, as amended by Amendment No. 1, dated as of December 23, 2016 and as further amended by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gridSpan w:val="8"/>
          </w:tcPr>
          <w:p>
            <w:pPr>
              <w:spacing w:after="0"/>
              <w:rPr>
                <w:sz w:val="13"/>
                <w:szCs w:val="13"/>
                <w:color w:val="auto"/>
              </w:rPr>
            </w:pPr>
          </w:p>
        </w:tc>
      </w:tr>
    </w:tbl>
    <w:p>
      <w:pPr>
        <w:jc w:val="both"/>
        <w:ind w:left="1240"/>
        <w:spacing w:after="0" w:line="219"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that certain Incremental Activation Notice No. 1, dated as of January 19, 2017, by and among Charter Communications Operating, LLC,</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CCO Holdings, LLC, the Lenders Party thereto and Bank of America, N.A., as Administrative Agent (incorporated by reference to</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 xml:space="preserve">Exhibit 10.1 to the </w:t>
        </w:r>
      </w:hyperlink>
      <w:hyperlink r:id="rId152">
        <w:r>
          <w:rPr>
            <w:rFonts w:ascii="Times New Roman" w:cs="Times New Roman" w:eastAsia="Times New Roman" w:hAnsi="Times New Roman"/>
            <w:sz w:val="18"/>
            <w:szCs w:val="18"/>
            <w:u w:val="single" w:color="auto"/>
            <w:color w:val="0000FF"/>
          </w:rPr>
          <w:t xml:space="preserve">Current Report </w:t>
        </w:r>
      </w:hyperlink>
      <w:hyperlink r:id="rId189">
        <w:r>
          <w:rPr>
            <w:rFonts w:ascii="Times New Roman" w:cs="Times New Roman" w:eastAsia="Times New Roman" w:hAnsi="Times New Roman"/>
            <w:sz w:val="18"/>
            <w:szCs w:val="18"/>
            <w:u w:val="single" w:color="auto"/>
            <w:color w:val="0000FF"/>
          </w:rPr>
          <w:t>on Form 8-K of Charter Communications, Inc. filed on December 28, 2017 (File No. 001-33664)).</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41"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E-9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10.30(d)</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Amendment No. 1, dated as of January 24, 2019, to (i)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3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amended and restated on December 21, 2017, by and among Charter Communications Operating, LLC, CCO Holdings, LLC, certain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6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subsidiaries of Charter Communications Operating, LLC, the lenders party thereto and Bank of America, N.A., as Administrative Agent</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80" w:type="dxa"/>
            <w:vAlign w:val="bottom"/>
            <w:tcBorders>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and (ii) the Guarantee and Collateral Agreement, dated as of March 18, 1999, as amended and restated as of March 31, 2010, as further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320" w:type="dxa"/>
            <w:vAlign w:val="bottom"/>
            <w:tcBorders>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amended and restated on May 18, 2016, by and among Charter Communications Operating, LLC, CCO Holdings, LLC, certain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60" w:type="dxa"/>
            <w:vAlign w:val="bottom"/>
            <w:gridSpan w:val="37"/>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subsidiaries of Charter Communications Operating, LLC and Bank of America, N.A., as Administrative Agent (incorporated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 xml:space="preserve">to Exhibit 10.1 to the </w:t>
              </w:r>
            </w:hyperlink>
            <w:hyperlink r:id="rId152">
              <w:r>
                <w:rPr>
                  <w:rFonts w:ascii="Times New Roman" w:cs="Times New Roman" w:eastAsia="Times New Roman" w:hAnsi="Times New Roman"/>
                  <w:sz w:val="18"/>
                  <w:szCs w:val="18"/>
                  <w:color w:val="0000FF"/>
                </w:rPr>
                <w:t xml:space="preserve">Current Report </w:t>
              </w:r>
            </w:hyperlink>
            <w:hyperlink r:id="rId191">
              <w:r>
                <w:rPr>
                  <w:rFonts w:ascii="Times New Roman" w:cs="Times New Roman" w:eastAsia="Times New Roman" w:hAnsi="Times New Roman"/>
                  <w:sz w:val="18"/>
                  <w:szCs w:val="18"/>
                  <w:color w:val="0000FF"/>
                </w:rPr>
                <w:t>on Form 8-K filed by Charter Communications, Inc. on January 30, 2019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3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10.30(e)</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Restatement Agreement, dated as of April 26 2019, to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3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amended and restated on December 21, 2017 and as amended by Amendment No. 1 as of January 24, 2019, by and among Charter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8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Communications Operating, LLC, CCO Holdings, LLC, certain subsidiaries of Charter Communications Operating, LLC, the lenders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400" w:type="dxa"/>
            <w:vAlign w:val="bottom"/>
            <w:gridSpan w:val="34"/>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party thereto and Bank of America, N.A., as Administrative Agent (incorporated by reference to Exhibit 10.4 to the Quarterly Report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10-Q of Charter Communications, Inc. filed April 30, 2019 (File No. 001-33664)).</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10.30(f)</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Amendment No. 1, dated as of October 24, 2019,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amended and restated on April 26, 2019, by and among Charter Communications Operating, LLC, CCO Holdings, LLC, certain</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subsidiaries of Charter Communications Operating, LLC, the lenders party thereto and Bank of America, N.A., as administrative agent</w:t>
              </w:r>
            </w:hyperlink>
          </w:p>
        </w:tc>
        <w:tc>
          <w:tcPr>
            <w:tcW w:w="80" w:type="dxa"/>
            <w:vAlign w:val="bottom"/>
            <w:tcBorders>
              <w:bottom w:val="single" w:sz="8" w:color="0000FF"/>
            </w:tcBorders>
            <w:gridSpan w:val="4"/>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380" w:type="dxa"/>
            <w:vAlign w:val="bottom"/>
            <w:gridSpan w:val="33"/>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(incorporated by reference to Exhibit 10.2 to the Current Report on Form 8-K filed by Charter Communications, Inc. on October 30,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4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10.30(g)</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Amendment No. 2, dated as of May 26, 2022, to (i)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amended and restated on April 26, 2019 and as amended by Amendment No. 1 on October 24, 2019, by and among Charter</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20" w:type="dxa"/>
            <w:vAlign w:val="bottom"/>
            <w:gridSpan w:val="35"/>
          </w:tcPr>
          <w:p>
            <w:pPr>
              <w:spacing w:after="0" w:line="169"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Communications Operating, LLC, CCO Holdings, LLC, certain subsidiaries of Charter Communications Operating, LLC, the lenders</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4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party thereto and Bank of America, N.A., as administrative agent and (ii) the Amended and Restated Guarantee and Collateral</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Agreement, dated as of March 18, 1999, as amended and restated as of March 6, 2007, as amended and restated as of March 31, 2010, as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20" w:type="dxa"/>
            <w:vAlign w:val="bottom"/>
            <w:gridSpan w:val="25"/>
          </w:tcPr>
          <w:p>
            <w:pPr>
              <w:spacing w:after="0" w:line="169"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amended and restated as of May 18, 2016 and as further amended as of January 24, 2019, by Charter Communications Operating, 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46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CCO Holdings, LLC, certain subsidiaries of Charter Communications Operating, LLC and the Bank of America, N.A., as administrative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agent (incorporated by reference to Exhibit 10.1 to the Current Report on Form 8-K filed by Charter Communications, Inc. on June 2,</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8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2022 (File No. 001-33664)).</w:t>
              </w:r>
            </w:hyperlink>
          </w:p>
        </w:tc>
        <w:tc>
          <w:tcPr>
            <w:tcW w:w="8400" w:type="dxa"/>
            <w:vAlign w:val="bottom"/>
            <w:gridSpan w:val="3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10.30(h)</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Amendment No. 3, dated as of February 10, 2023,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1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amended and restated on April 26, 2019, as amended by Amendment No. 1 on October 24, 2019 and as further amended by Amendment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6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No. 2 on May 26, 2022, by and among Charter Communications Operating, LLC, CCO Holdings, LLC, certain of Charter</w:t>
              </w:r>
            </w:hyperlink>
          </w:p>
        </w:tc>
        <w:tc>
          <w:tcPr>
            <w:tcW w:w="140" w:type="dxa"/>
            <w:vAlign w:val="bottom"/>
            <w:tcBorders>
              <w:bottom w:val="single" w:sz="8" w:color="0000FF"/>
            </w:tcBorders>
            <w:gridSpan w:val="7"/>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360" w:type="dxa"/>
            <w:vAlign w:val="bottom"/>
            <w:tcBorders>
              <w:bottom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Communications Operating, LLC’s subsidiaries, the lenders party thereto and Bank of America, N.A., as administrative agent</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520" w:type="dxa"/>
            <w:vAlign w:val="bottom"/>
            <w:gridSpan w:val="40"/>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(incorporated by reference to Exhibit 10.2 to the Current Report on Form 8-K filed by Charter Communications, Inc. on February 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2023 (File No. 001-33664)).</w:t>
              </w:r>
            </w:hyperlink>
          </w:p>
        </w:tc>
        <w:tc>
          <w:tcPr>
            <w:tcW w:w="7880" w:type="dxa"/>
            <w:vAlign w:val="bottom"/>
            <w:tcBorders>
              <w:top w:val="single" w:sz="8" w:color="0000FF"/>
            </w:tcBorders>
            <w:gridSpan w:val="7"/>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9"/>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10.30(i)</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Amendment No. 4, dated as of March 23, 2023, to the Amended and Restated Credit Agreement, dated as of March 18, 1999, as amended</w:t>
              </w:r>
            </w:hyperlink>
          </w:p>
        </w:tc>
      </w:tr>
      <w:tr>
        <w:trPr>
          <w:trHeight w:val="156"/>
        </w:trPr>
        <w:tc>
          <w:tcPr>
            <w:tcW w:w="1240" w:type="dxa"/>
            <w:vAlign w:val="bottom"/>
          </w:tcPr>
          <w:p>
            <w:pPr>
              <w:spacing w:after="0"/>
              <w:rPr>
                <w:sz w:val="13"/>
                <w:szCs w:val="13"/>
                <w:color w:val="auto"/>
              </w:rPr>
            </w:pPr>
          </w:p>
        </w:tc>
        <w:tc>
          <w:tcPr>
            <w:tcW w:w="101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and restated on April 26, 2019, as amended by Amendment No. 1 on October 24, 2019 and as further amended by Amendment No. 2 on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May 26, 2022 and as further amended by Amendment No. 3 on February 10, 2023, by and among Charter Communications Operating,</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80" w:type="dxa"/>
            <w:vAlign w:val="bottom"/>
            <w:tcBorders>
              <w:bottom w:val="single" w:sz="8" w:color="0000FF"/>
            </w:tcBorders>
            <w:gridSpan w:val="9"/>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440" w:type="dxa"/>
            <w:vAlign w:val="bottom"/>
            <w:gridSpan w:val="36"/>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LLC, CCO Holdings, LLC, certain of Charter Communications Operating, LLC’s subsidiaries, the lenders party thereto and Bank of</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4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America, N.A., as administrative agent (incorporated by reference to Exhibit 10.1 to the Current Report on Form 8-K filed by Charter</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2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Communications, Inc. on March 29, 2023 (File No. 001-33664)).</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10.30(j)</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Amendment No. 5, dated as of December 7, 2023, to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amended and restated on April 26, 2019, as amended by Amendment No. 1 on October 24, 2019 and as further amended by Amendment</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No. 2 on May 26, 2022 and as further amended by Amendment No. 3 on February 10, 2023 and as further amended by Amendment No. 4</w:t>
              </w:r>
            </w:hyperlink>
          </w:p>
        </w:tc>
        <w:tc>
          <w:tcPr>
            <w:tcW w:w="160" w:type="dxa"/>
            <w:vAlign w:val="bottom"/>
            <w:gridSpan w:val="8"/>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2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on March 23, 2023, by and among Charter Communications Operating, LLC, CCO Holdings, LLC, certain of Charter Communications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Operating, LLC’s subsidiaries, the lenders party thereto and Bank of America, N.A., as administrative agent (incorporated by reference to</w:t>
              </w:r>
            </w:hyperlink>
          </w:p>
        </w:tc>
        <w:tc>
          <w:tcPr>
            <w:tcW w:w="220" w:type="dxa"/>
            <w:vAlign w:val="bottom"/>
            <w:tcBorders>
              <w:bottom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68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Exhibit 10.1 to the Current Report on Form 8-K filed by Charter Communications, Inc. on December 13, 2023 (File No. 001-33664)).</w:t>
              </w:r>
            </w:hyperlink>
          </w:p>
        </w:tc>
        <w:tc>
          <w:tcPr>
            <w:tcW w:w="820" w:type="dxa"/>
            <w:vAlign w:val="bottom"/>
            <w:gridSpan w:val="2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Joinder Agreement to Registration Rights Agreement, dated as of May 18, 2016, by and among CCO Safari II, LLC, CCH II, LLC,</w:t>
              </w:r>
            </w:hyperlink>
          </w:p>
        </w:tc>
      </w:tr>
      <w:tr>
        <w:trPr>
          <w:trHeight w:val="156"/>
        </w:trPr>
        <w:tc>
          <w:tcPr>
            <w:tcW w:w="1240" w:type="dxa"/>
            <w:vAlign w:val="bottom"/>
          </w:tcPr>
          <w:p>
            <w:pPr>
              <w:spacing w:after="0"/>
              <w:rPr>
                <w:sz w:val="13"/>
                <w:szCs w:val="13"/>
                <w:color w:val="auto"/>
              </w:rPr>
            </w:pPr>
          </w:p>
        </w:tc>
        <w:tc>
          <w:tcPr>
            <w:tcW w:w="1054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Charter Communications Operating, LLC, Charter Communications Operating Capital Corp., CCO Holdings, LLC and the other</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2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guarantors party thereto (incorporated herein by reference to Exhibit 10.1 to the Current Report on Form 8-K of Charter Communications,</w:t>
              </w:r>
            </w:hyperlink>
          </w:p>
        </w:tc>
        <w:tc>
          <w:tcPr>
            <w:tcW w:w="120" w:type="dxa"/>
            <w:vAlign w:val="bottom"/>
            <w:tcBorders>
              <w:bottom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15"/>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82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Inc. filed May 24, 2016).</w:t>
              </w:r>
            </w:hyperlink>
          </w:p>
        </w:tc>
        <w:tc>
          <w:tcPr>
            <w:tcW w:w="842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Joinder Agreement to Registration Rights Agreement, dated as of May 18, 2016, by CCO Holdings, LLC and CCO Holdings Capital</w:t>
              </w:r>
            </w:hyperlink>
          </w:p>
        </w:tc>
      </w:tr>
      <w:tr>
        <w:trPr>
          <w:trHeight w:val="155"/>
        </w:trPr>
        <w:tc>
          <w:tcPr>
            <w:tcW w:w="1240" w:type="dxa"/>
            <w:vAlign w:val="bottom"/>
          </w:tcPr>
          <w:p>
            <w:pPr>
              <w:spacing w:after="0"/>
              <w:rPr>
                <w:sz w:val="13"/>
                <w:szCs w:val="13"/>
                <w:color w:val="auto"/>
              </w:rPr>
            </w:pPr>
          </w:p>
        </w:tc>
        <w:tc>
          <w:tcPr>
            <w:tcW w:w="102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Corp (incorporated herein by reference to Exhibit 10.2 to the Current Report on Form 8-K of Charter Communications, Inc. filed May 24,</w:t>
              </w:r>
            </w:hyperlink>
          </w:p>
        </w:tc>
        <w:tc>
          <w:tcPr>
            <w:tcW w:w="300" w:type="dxa"/>
            <w:vAlign w:val="bottom"/>
            <w:gridSpan w:val="1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99">
              <w:r>
                <w:rPr>
                  <w:rFonts w:ascii="Times New Roman" w:cs="Times New Roman" w:eastAsia="Times New Roman" w:hAnsi="Times New Roman"/>
                  <w:sz w:val="18"/>
                  <w:szCs w:val="18"/>
                  <w:color w:val="0000FF"/>
                  <w:w w:val="98"/>
                </w:rPr>
                <w:t>2016).</w:t>
              </w:r>
            </w:hyperlink>
          </w:p>
        </w:tc>
        <w:tc>
          <w:tcPr>
            <w:tcW w:w="11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00" w:type="dxa"/>
            <w:vAlign w:val="bottom"/>
            <w:tcBorders>
              <w:top w:val="single" w:sz="8" w:color="0000FF"/>
            </w:tcBorders>
          </w:tcPr>
          <w:p>
            <w:pPr>
              <w:spacing w:after="0"/>
              <w:rPr>
                <w:sz w:val="14"/>
                <w:szCs w:val="14"/>
                <w:color w:val="auto"/>
              </w:rPr>
            </w:pPr>
          </w:p>
        </w:tc>
        <w:tc>
          <w:tcPr>
            <w:tcW w:w="1680" w:type="dxa"/>
            <w:vAlign w:val="bottom"/>
            <w:tcBorders>
              <w:top w:val="single" w:sz="8" w:color="0000FF"/>
            </w:tcBorders>
          </w:tcPr>
          <w:p>
            <w:pPr>
              <w:spacing w:after="0"/>
              <w:rPr>
                <w:sz w:val="14"/>
                <w:szCs w:val="14"/>
                <w:color w:val="auto"/>
              </w:rPr>
            </w:pPr>
          </w:p>
        </w:tc>
        <w:tc>
          <w:tcPr>
            <w:tcW w:w="33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560" w:type="dxa"/>
            <w:vAlign w:val="bottom"/>
            <w:gridSpan w:val="42"/>
          </w:tcPr>
          <w:p>
            <w:pPr>
              <w:spacing w:after="0"/>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Escrow Assumption Agreement, dated as of May 18, 2016, by and among CCO Safari III, LLC, Charter Communications Operating,</w:t>
              </w:r>
            </w:hyperlink>
          </w:p>
        </w:tc>
      </w:tr>
    </w:tbl>
    <w:p>
      <w:pPr>
        <w:ind w:left="1240"/>
        <w:spacing w:after="0" w:line="233"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LLC, Bank of America, N.A., as escrow administrative agent and Bank of America, N.A., as administrative agent (incorporated herein by</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 xml:space="preserve">reference to Exhibit 10.3 to the </w:t>
        </w:r>
      </w:hyperlink>
      <w:hyperlink r:id="rId201">
        <w:r>
          <w:rPr>
            <w:rFonts w:ascii="Times New Roman" w:cs="Times New Roman" w:eastAsia="Times New Roman" w:hAnsi="Times New Roman"/>
            <w:sz w:val="18"/>
            <w:szCs w:val="18"/>
            <w:u w:val="single" w:color="auto"/>
            <w:color w:val="0000FF"/>
          </w:rPr>
          <w:t xml:space="preserve">Current Report </w:t>
        </w:r>
      </w:hyperlink>
      <w:hyperlink r:id="rId200">
        <w:r>
          <w:rPr>
            <w:rFonts w:ascii="Times New Roman" w:cs="Times New Roman" w:eastAsia="Times New Roman" w:hAnsi="Times New Roman"/>
            <w:sz w:val="18"/>
            <w:szCs w:val="18"/>
            <w:u w:val="single" w:color="auto"/>
            <w:color w:val="0000FF"/>
          </w:rPr>
          <w:t>on Form 8-K of Charter Communications, Inc. filed May 24, 2016).</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9"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E-10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Incremental Activation Notice, dated as of May 18, 2016, by and among Charter Communications Operating, LLC, CCO Holdings, LLC,</w:t>
              </w:r>
            </w:hyperlink>
          </w:p>
        </w:tc>
      </w:tr>
      <w:tr>
        <w:trPr>
          <w:trHeight w:val="156"/>
        </w:trPr>
        <w:tc>
          <w:tcPr>
            <w:tcW w:w="1260" w:type="dxa"/>
            <w:vAlign w:val="bottom"/>
          </w:tcPr>
          <w:p>
            <w:pPr>
              <w:spacing w:after="0"/>
              <w:rPr>
                <w:sz w:val="13"/>
                <w:szCs w:val="13"/>
                <w:color w:val="auto"/>
              </w:rPr>
            </w:pPr>
          </w:p>
        </w:tc>
        <w:tc>
          <w:tcPr>
            <w:tcW w:w="102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the subsidiary guarantors party thereto, Bank of America, N.A., as administrative agent and the lenders party thereto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0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reference to Exhibit 10.4 to the Current Report on Form 8-K of Charter Communications, Inc. filed on May 24, 2016 (File No. 001-</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62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203">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Collateral Agreement, dated as of May 18, 2016, by Charter Communications Operating, LLC, Charter Communications Operating</w:t>
              </w:r>
            </w:hyperlink>
          </w:p>
        </w:tc>
      </w:tr>
      <w:tr>
        <w:trPr>
          <w:trHeight w:val="156"/>
        </w:trPr>
        <w:tc>
          <w:tcPr>
            <w:tcW w:w="1260" w:type="dxa"/>
            <w:vAlign w:val="bottom"/>
          </w:tcPr>
          <w:p>
            <w:pPr>
              <w:spacing w:after="0"/>
              <w:rPr>
                <w:sz w:val="13"/>
                <w:szCs w:val="13"/>
                <w:color w:val="auto"/>
              </w:rPr>
            </w:pPr>
          </w:p>
        </w:tc>
        <w:tc>
          <w:tcPr>
            <w:tcW w:w="103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Capital Corp. and the other grantors party thereto in favor of The Bank of New York Mellon Trust Company, N.A., as collateral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(incorporated by reference to Exhibit 10.6 to the Current Report on Form 8-K of Charter Communications, Inc. filed on May 24, 2016</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0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First Lien Intercreditor Agreement, dated as of May 18, 2016, by and among Charter Communications Operating, LLC, the other grantors</w:t>
              </w:r>
            </w:hyperlink>
          </w:p>
        </w:tc>
      </w:tr>
      <w:tr>
        <w:trPr>
          <w:trHeight w:val="156"/>
        </w:trPr>
        <w:tc>
          <w:tcPr>
            <w:tcW w:w="1260" w:type="dxa"/>
            <w:vAlign w:val="bottom"/>
          </w:tcPr>
          <w:p>
            <w:pPr>
              <w:spacing w:after="0"/>
              <w:rPr>
                <w:sz w:val="13"/>
                <w:szCs w:val="13"/>
                <w:color w:val="auto"/>
              </w:rPr>
            </w:pPr>
          </w:p>
        </w:tc>
        <w:tc>
          <w:tcPr>
            <w:tcW w:w="101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party thereto, Bank of America, N.A., as credit agreement collateral agent for the credit agreement secured parties, The Bank of New</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York Mellon Trust Company, N.A., as notes collateral agent for the indenture secured parties, and each additional agent from time to time</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0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party thereto (incorporated by reference to Exhibit 10.7 to the Current Report on Form 8-K of Charter Communications, Inc. filed on May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60" w:type="dxa"/>
            <w:vAlign w:val="bottom"/>
          </w:tcPr>
          <w:p>
            <w:pPr>
              <w:spacing w:after="0"/>
              <w:rPr>
                <w:sz w:val="13"/>
                <w:szCs w:val="13"/>
                <w:color w:val="auto"/>
              </w:rPr>
            </w:pPr>
          </w:p>
        </w:tc>
        <w:tc>
          <w:tcPr>
            <w:tcW w:w="100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24, 2016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Amended and Restated Limited Liability Company Agreement of Charter Communications Holdings, LLC, dated as of May 18, 2016, by</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and among Charter Holdings, Charter, CCH II, LLC, Advance/Newhouse Partnership and the other party or parties thereto (incorporated</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20" w:type="dxa"/>
            <w:vAlign w:val="bottom"/>
            <w:gridSpan w:val="28"/>
          </w:tcPr>
          <w:p>
            <w:pPr>
              <w:spacing w:after="0" w:line="169"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by reference to Exhibit 10.1 to the Current Report on Form 8-K of Charter Communications, Inc. filed on May 19, 2016 (File No. 001-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205">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Exchange Agreement, dated as of May 18, 2016, by and among Charter Holdings, Charter, Advance/Newhouse Partnership and the other</w:t>
              </w:r>
            </w:hyperlink>
          </w:p>
        </w:tc>
      </w:tr>
      <w:tr>
        <w:trPr>
          <w:trHeight w:val="156"/>
        </w:trPr>
        <w:tc>
          <w:tcPr>
            <w:tcW w:w="1260" w:type="dxa"/>
            <w:vAlign w:val="bottom"/>
          </w:tcPr>
          <w:p>
            <w:pPr>
              <w:spacing w:after="0"/>
              <w:rPr>
                <w:sz w:val="13"/>
                <w:szCs w:val="13"/>
                <w:color w:val="auto"/>
              </w:rPr>
            </w:pPr>
          </w:p>
        </w:tc>
        <w:tc>
          <w:tcPr>
            <w:tcW w:w="102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party or parties thereto (incorporated by reference to Exhibit 10.2 to the Current Report on Form 8-K of Charter Communications, Inc.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33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filed on May 19, 2016 (File No. 001-33664)).</w:t>
              </w:r>
            </w:hyperlink>
          </w:p>
        </w:tc>
        <w:tc>
          <w:tcPr>
            <w:tcW w:w="6800" w:type="dxa"/>
            <w:vAlign w:val="bottom"/>
            <w:tcBorders>
              <w:top w:val="single" w:sz="8" w:color="0000FF"/>
            </w:tcBorders>
            <w:gridSpan w:val="16"/>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Registration Rights Agreement, dated as of May 18, 2016, by and among Charter, Advance/Newhouse Partnership and Liberty</w:t>
              </w:r>
            </w:hyperlink>
          </w:p>
        </w:tc>
      </w:tr>
      <w:tr>
        <w:trPr>
          <w:trHeight w:val="156"/>
        </w:trPr>
        <w:tc>
          <w:tcPr>
            <w:tcW w:w="1260" w:type="dxa"/>
            <w:vAlign w:val="bottom"/>
          </w:tcPr>
          <w:p>
            <w:pPr>
              <w:spacing w:after="0"/>
              <w:rPr>
                <w:sz w:val="13"/>
                <w:szCs w:val="13"/>
                <w:color w:val="auto"/>
              </w:rPr>
            </w:pPr>
          </w:p>
        </w:tc>
        <w:tc>
          <w:tcPr>
            <w:tcW w:w="10360" w:type="dxa"/>
            <w:vAlign w:val="bottom"/>
            <w:tcBorders>
              <w:top w:val="single" w:sz="8" w:color="0000FF"/>
              <w:bottom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Broadband (incorporated by reference to Exhibit 10.3 to the Current Report on Form 8-K of Charter Communications, Inc. filed on May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420" w:type="dxa"/>
            <w:vAlign w:val="bottom"/>
            <w:gridSpan w:val="38"/>
          </w:tcPr>
          <w:p>
            <w:pPr>
              <w:spacing w:after="0" w:line="169"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19, 2016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Tax Receivables Agreement, dated as of May 18, 2016, by and among Charter, Advance/Newhouse Partnership and the other party or</w:t>
              </w:r>
            </w:hyperlink>
          </w:p>
        </w:tc>
      </w:tr>
      <w:tr>
        <w:trPr>
          <w:trHeight w:val="156"/>
        </w:trPr>
        <w:tc>
          <w:tcPr>
            <w:tcW w:w="1260" w:type="dxa"/>
            <w:vAlign w:val="bottom"/>
          </w:tcPr>
          <w:p>
            <w:pPr>
              <w:spacing w:after="0"/>
              <w:rPr>
                <w:sz w:val="13"/>
                <w:szCs w:val="13"/>
                <w:color w:val="auto"/>
              </w:rPr>
            </w:pPr>
          </w:p>
        </w:tc>
        <w:tc>
          <w:tcPr>
            <w:tcW w:w="1040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parties thereto (incorporated by reference to Exhibit 10.4 to the Current Report on Form 8-K of Charter Communications, Inc. filed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27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May 19, 2016 (File No. 001-33664)).</w:t>
              </w:r>
            </w:hyperlink>
          </w:p>
        </w:tc>
        <w:tc>
          <w:tcPr>
            <w:tcW w:w="746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Wireless Operational Cooperation Agreement dated as of May 5, 2017 between Charter Communications, Inc. and Comcast Corporation</w:t>
              </w:r>
            </w:hyperlink>
          </w:p>
        </w:tc>
      </w:tr>
      <w:tr>
        <w:trPr>
          <w:trHeight w:val="156"/>
        </w:trPr>
        <w:tc>
          <w:tcPr>
            <w:tcW w:w="1260" w:type="dxa"/>
            <w:vAlign w:val="bottom"/>
          </w:tcPr>
          <w:p>
            <w:pPr>
              <w:spacing w:after="0"/>
              <w:rPr>
                <w:sz w:val="13"/>
                <w:szCs w:val="13"/>
                <w:color w:val="auto"/>
              </w:rPr>
            </w:pPr>
          </w:p>
        </w:tc>
        <w:tc>
          <w:tcPr>
            <w:tcW w:w="1026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(incorporated by reference to Exhibit 10.1 to the Current Report on Form 8-K filed by Charter Communications, Inc. on May 8, 2017</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00" w:type="dxa"/>
            <w:vAlign w:val="bottom"/>
            <w:gridSpan w:val="32"/>
          </w:tcPr>
          <w:p>
            <w:pPr>
              <w:spacing w:after="0" w:line="169"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(File No. 001-33664)).</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Charter Communications, Inc. Executive Bonus Plan (incorporated by reference to Exhibit 10.1 to the Quarterly Report on Form 10-Q of</w:t>
              </w:r>
            </w:hyperlink>
          </w:p>
        </w:tc>
      </w:tr>
      <w:tr>
        <w:trPr>
          <w:trHeight w:val="155"/>
        </w:trPr>
        <w:tc>
          <w:tcPr>
            <w:tcW w:w="126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Charter Communications, Inc. filed on May 8, 2012 (File No. 001-33664)).</w:t>
              </w:r>
            </w:hyperlink>
          </w:p>
        </w:tc>
        <w:tc>
          <w:tcPr>
            <w:tcW w:w="450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of First Amended and Restated Indemnification Agreement (incorporated by reference to Exhibit 10.3 to the Quarterly Report on</w:t>
              </w:r>
            </w:hyperlink>
          </w:p>
        </w:tc>
      </w:tr>
      <w:tr>
        <w:trPr>
          <w:trHeight w:val="156"/>
        </w:trPr>
        <w:tc>
          <w:tcPr>
            <w:tcW w:w="1260" w:type="dxa"/>
            <w:vAlign w:val="bottom"/>
          </w:tcPr>
          <w:p>
            <w:pPr>
              <w:spacing w:after="0"/>
              <w:rPr>
                <w:sz w:val="13"/>
                <w:szCs w:val="13"/>
                <w:color w:val="auto"/>
              </w:rPr>
            </w:pPr>
          </w:p>
        </w:tc>
        <w:tc>
          <w:tcPr>
            <w:tcW w:w="100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10-Q of Charter Communications, Inc. filed on August 6, 2013 (File No. 001-33664)).</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62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Charter Communications, Inc. 2016 Executive Incentive Performance Plan (incorporated by reference to Appendix A to the proxy</w:t>
              </w:r>
            </w:hyperlink>
          </w:p>
        </w:tc>
      </w:tr>
      <w:tr>
        <w:trPr>
          <w:trHeight w:val="155"/>
        </w:trPr>
        <w:tc>
          <w:tcPr>
            <w:tcW w:w="126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statement for the Charter Communications, Inc. 2016 Annual Meeting of Stockholders filed March 17, 2016 (File No. 001-33664)).</w:t>
              </w:r>
            </w:hyperlink>
          </w:p>
        </w:tc>
        <w:tc>
          <w:tcPr>
            <w:tcW w:w="94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Charter Communications, Inc. Amended and Restated 2009 Stock Incentive Plan (incorporated by reference to Exhibit 10.6 to the Current</w:t>
              </w:r>
            </w:hyperlink>
          </w:p>
        </w:tc>
      </w:tr>
      <w:tr>
        <w:trPr>
          <w:trHeight w:val="155"/>
        </w:trPr>
        <w:tc>
          <w:tcPr>
            <w:tcW w:w="1260" w:type="dxa"/>
            <w:vAlign w:val="bottom"/>
          </w:tcPr>
          <w:p>
            <w:pPr>
              <w:spacing w:after="0"/>
              <w:rPr>
                <w:sz w:val="13"/>
                <w:szCs w:val="13"/>
                <w:color w:val="auto"/>
              </w:rPr>
            </w:pPr>
          </w:p>
        </w:tc>
        <w:tc>
          <w:tcPr>
            <w:tcW w:w="72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Report on Form 8-K of Charter Communications, Inc. filed on May 19, 2016 (File No. 001-33664)).</w:t>
              </w:r>
            </w:hyperlink>
          </w:p>
        </w:tc>
        <w:tc>
          <w:tcPr>
            <w:tcW w:w="294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Amendment to the Charter Communications, Inc. Amended and Restated 2009 Stock Incentive Plan, dated as of October 25, 2016</w:t>
              </w:r>
            </w:hyperlink>
          </w:p>
        </w:tc>
      </w:tr>
      <w:tr>
        <w:trPr>
          <w:trHeight w:val="155"/>
        </w:trPr>
        <w:tc>
          <w:tcPr>
            <w:tcW w:w="1260" w:type="dxa"/>
            <w:vAlign w:val="bottom"/>
          </w:tcPr>
          <w:p>
            <w:pPr>
              <w:spacing w:after="0"/>
              <w:rPr>
                <w:sz w:val="13"/>
                <w:szCs w:val="13"/>
                <w:color w:val="auto"/>
              </w:rPr>
            </w:pPr>
          </w:p>
        </w:tc>
        <w:tc>
          <w:tcPr>
            <w:tcW w:w="103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(incorporated by reference to Exhibit 10.1 to the Current Report on Form 8-K of Charter Communications, Inc. filed on October 28, 2016</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4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(File No. 001-33664)).</w:t>
              </w:r>
            </w:hyperlink>
          </w:p>
        </w:tc>
        <w:tc>
          <w:tcPr>
            <w:tcW w:w="100" w:type="dxa"/>
            <w:vAlign w:val="bottom"/>
            <w:gridSpan w:val="5"/>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360" w:type="dxa"/>
            <w:vAlign w:val="bottom"/>
            <w:gridSpan w:val="1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Charter Communications, Inc.’s Amended and Restated Supplemental Deferred Compensation Plan, dated as of September 1, 2011</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(incorporated by reference to Exhibit 10.1 to the Current Report on Form 8-K filed by Charter Communications, Inc. on September 2,</w:t>
              </w:r>
            </w:hyperlink>
          </w:p>
        </w:tc>
        <w:tc>
          <w:tcPr>
            <w:tcW w:w="360" w:type="dxa"/>
            <w:vAlign w:val="bottom"/>
            <w:gridSpan w:val="18"/>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2011 (File No. 001-33664)).</w:t>
              </w:r>
            </w:hyperlink>
          </w:p>
        </w:tc>
        <w:tc>
          <w:tcPr>
            <w:tcW w:w="280" w:type="dxa"/>
            <w:vAlign w:val="bottom"/>
            <w:gridSpan w:val="14"/>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Form of Non-Qualified Time Vesting Stock Option Agreement dated April 26, 2011 (incorporated by reference to Exhibit 10.3 to the</w:t>
              </w:r>
            </w:hyperlink>
          </w:p>
        </w:tc>
      </w:tr>
      <w:tr>
        <w:trPr>
          <w:trHeight w:val="156"/>
        </w:trPr>
        <w:tc>
          <w:tcPr>
            <w:tcW w:w="1260" w:type="dxa"/>
            <w:vAlign w:val="bottom"/>
          </w:tcPr>
          <w:p>
            <w:pPr>
              <w:spacing w:after="0"/>
              <w:rPr>
                <w:sz w:val="13"/>
                <w:szCs w:val="13"/>
                <w:color w:val="auto"/>
              </w:rPr>
            </w:pPr>
          </w:p>
        </w:tc>
        <w:tc>
          <w:tcPr>
            <w:tcW w:w="1046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Quarterly Report on Form 10-Q filed by Charter Communications, Inc. on August 2, 2011 (File No. 001-33664)).</w:t>
              </w:r>
            </w:hyperlink>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6740" w:type="dxa"/>
            <w:vAlign w:val="bottom"/>
            <w:gridSpan w:val="9"/>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gridSpan w:val="2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Form of Non-Qualified Price Vesting Stock Option Agreement dated April 26, 2011 (incorporated by reference to Exhibit 10.2 to the</w:t>
              </w:r>
            </w:hyperlink>
          </w:p>
        </w:tc>
      </w:tr>
      <w:tr>
        <w:trPr>
          <w:trHeight w:val="155"/>
        </w:trPr>
        <w:tc>
          <w:tcPr>
            <w:tcW w:w="1260" w:type="dxa"/>
            <w:vAlign w:val="bottom"/>
          </w:tcPr>
          <w:p>
            <w:pPr>
              <w:spacing w:after="0"/>
              <w:rPr>
                <w:sz w:val="13"/>
                <w:szCs w:val="13"/>
                <w:color w:val="auto"/>
              </w:rPr>
            </w:pPr>
          </w:p>
        </w:tc>
        <w:tc>
          <w:tcPr>
            <w:tcW w:w="103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 xml:space="preserve">Quarterly Report </w:t>
              </w:r>
            </w:hyperlink>
            <w:hyperlink r:id="rId217">
              <w:r>
                <w:rPr>
                  <w:rFonts w:ascii="Times New Roman" w:cs="Times New Roman" w:eastAsia="Times New Roman" w:hAnsi="Times New Roman"/>
                  <w:sz w:val="18"/>
                  <w:szCs w:val="18"/>
                  <w:color w:val="0000FF"/>
                </w:rPr>
                <w:t>on Form 10-Q filed by Charter Communications, Inc. on August 2, 2011 (File No. 001-33664)).</w:t>
              </w:r>
            </w:hyperlink>
          </w:p>
        </w:tc>
        <w:tc>
          <w:tcPr>
            <w:tcW w:w="140" w:type="dxa"/>
            <w:vAlign w:val="bottom"/>
            <w:gridSpan w:val="7"/>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6740" w:type="dxa"/>
            <w:vAlign w:val="bottom"/>
            <w:gridSpan w:val="9"/>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00" w:type="dxa"/>
            <w:vAlign w:val="bottom"/>
            <w:gridSpan w:val="29"/>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of Notice of LTIP Award Agreement Changes (RSU Awards) (incorporated by reference to Exhibit 10.3 to the Current Report on</w:t>
              </w:r>
            </w:hyperlink>
          </w:p>
        </w:tc>
      </w:tr>
      <w:tr>
        <w:trPr>
          <w:trHeight w:val="155"/>
        </w:trPr>
        <w:tc>
          <w:tcPr>
            <w:tcW w:w="126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Form 8-K filed by Charter Communications, Inc. on January 22, 2014 (File No. 001-33664)).</w:t>
              </w:r>
            </w:hyperlink>
          </w:p>
        </w:tc>
        <w:tc>
          <w:tcPr>
            <w:tcW w:w="3440" w:type="dxa"/>
            <w:vAlign w:val="bottom"/>
            <w:tcBorders>
              <w:top w:val="single" w:sz="8" w:color="0000FF"/>
            </w:tcBorders>
            <w:gridSpan w:val="17"/>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Form of Notice of LTIP Award Agreement Changes (Time-Vesting Option Awards) (incorporated by reference to Exhibit 10.4 to the</w:t>
              </w:r>
            </w:hyperlink>
          </w:p>
        </w:tc>
      </w:tr>
      <w:tr>
        <w:trPr>
          <w:trHeight w:val="155"/>
        </w:trPr>
        <w:tc>
          <w:tcPr>
            <w:tcW w:w="1260" w:type="dxa"/>
            <w:vAlign w:val="bottom"/>
          </w:tcPr>
          <w:p>
            <w:pPr>
              <w:spacing w:after="0"/>
              <w:rPr>
                <w:sz w:val="13"/>
                <w:szCs w:val="13"/>
                <w:color w:val="auto"/>
              </w:rPr>
            </w:pPr>
          </w:p>
        </w:tc>
        <w:tc>
          <w:tcPr>
            <w:tcW w:w="103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 xml:space="preserve">Current Report </w:t>
              </w:r>
            </w:hyperlink>
            <w:hyperlink r:id="rId219">
              <w:r>
                <w:rPr>
                  <w:rFonts w:ascii="Times New Roman" w:cs="Times New Roman" w:eastAsia="Times New Roman" w:hAnsi="Times New Roman"/>
                  <w:sz w:val="18"/>
                  <w:szCs w:val="18"/>
                  <w:color w:val="0000FF"/>
                </w:rPr>
                <w:t>on Form 8-K filed by Charter Communications, Inc. on January 22, 2014 (File No. 001-33664)).</w:t>
              </w:r>
            </w:hyperlink>
          </w:p>
        </w:tc>
        <w:tc>
          <w:tcPr>
            <w:tcW w:w="100" w:type="dxa"/>
            <w:vAlign w:val="bottom"/>
            <w:gridSpan w:val="5"/>
          </w:tcPr>
          <w:p>
            <w:pPr>
              <w:spacing w:after="0"/>
              <w:rPr>
                <w:sz w:val="13"/>
                <w:szCs w:val="13"/>
                <w:color w:val="auto"/>
              </w:rPr>
            </w:pPr>
          </w:p>
        </w:tc>
      </w:tr>
      <w:tr>
        <w:trPr>
          <w:trHeight w:val="696"/>
        </w:trPr>
        <w:tc>
          <w:tcPr>
            <w:tcW w:w="126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780" w:type="dxa"/>
            <w:vAlign w:val="bottom"/>
            <w:tcBorders>
              <w:top w:val="single" w:sz="8" w:color="0000FF"/>
            </w:tcBorders>
            <w:gridSpan w:val="5"/>
          </w:tcPr>
          <w:p>
            <w:pPr>
              <w:ind w:left="900"/>
              <w:spacing w:after="0"/>
              <w:rPr>
                <w:sz w:val="20"/>
                <w:szCs w:val="20"/>
                <w:color w:val="auto"/>
              </w:rPr>
            </w:pPr>
            <w:r>
              <w:rPr>
                <w:rFonts w:ascii="Times New Roman" w:cs="Times New Roman" w:eastAsia="Times New Roman" w:hAnsi="Times New Roman"/>
                <w:sz w:val="18"/>
                <w:szCs w:val="18"/>
                <w:color w:val="auto"/>
              </w:rPr>
              <w:t>E-11</w:t>
            </w:r>
          </w:p>
        </w:tc>
        <w:tc>
          <w:tcPr>
            <w:tcW w:w="2400" w:type="dxa"/>
            <w:vAlign w:val="bottom"/>
            <w:gridSpan w:val="30"/>
          </w:tcPr>
          <w:p>
            <w:pPr>
              <w:spacing w:after="0"/>
              <w:rPr>
                <w:sz w:val="24"/>
                <w:szCs w:val="24"/>
                <w:color w:val="auto"/>
              </w:rPr>
            </w:pPr>
          </w:p>
        </w:tc>
      </w:tr>
      <w:tr>
        <w:trPr>
          <w:trHeight w:val="358"/>
        </w:trPr>
        <w:tc>
          <w:tcPr>
            <w:tcW w:w="1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Form of Notice of LTIP Award Agreement Changes (Restricted Stock Awards) (incorporated by reference to Exhibit 10.5 to the Current</w:t>
              </w:r>
            </w:hyperlink>
          </w:p>
        </w:tc>
      </w:tr>
      <w:tr>
        <w:trPr>
          <w:trHeight w:val="155"/>
        </w:trPr>
        <w:tc>
          <w:tcPr>
            <w:tcW w:w="124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 xml:space="preserve">Report </w:t>
              </w:r>
            </w:hyperlink>
            <w:hyperlink r:id="rId222">
              <w:r>
                <w:rPr>
                  <w:rFonts w:ascii="Times New Roman" w:cs="Times New Roman" w:eastAsia="Times New Roman" w:hAnsi="Times New Roman"/>
                  <w:sz w:val="18"/>
                  <w:szCs w:val="18"/>
                  <w:color w:val="0000FF"/>
                  <w:w w:val="99"/>
                </w:rPr>
                <w:t>on Form 8-K filed by Charter Communications, Inc. on January 22, 2014 (File No. 001-33664)).</w:t>
              </w:r>
            </w:hyperlink>
          </w:p>
        </w:tc>
        <w:tc>
          <w:tcPr>
            <w:tcW w:w="24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Form of Notice of LTIP Award Agreement Changes (Performance-Vesting Option Awards) (incorporated by reference to Exhibit 10.6 to</w:t>
              </w:r>
            </w:hyperlink>
          </w:p>
        </w:tc>
      </w:tr>
      <w:tr>
        <w:trPr>
          <w:trHeight w:val="156"/>
        </w:trPr>
        <w:tc>
          <w:tcPr>
            <w:tcW w:w="1240" w:type="dxa"/>
            <w:vAlign w:val="bottom"/>
          </w:tcPr>
          <w:p>
            <w:pPr>
              <w:spacing w:after="0"/>
              <w:rPr>
                <w:sz w:val="13"/>
                <w:szCs w:val="13"/>
                <w:color w:val="auto"/>
              </w:rPr>
            </w:pPr>
          </w:p>
        </w:tc>
        <w:tc>
          <w:tcPr>
            <w:tcW w:w="101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 xml:space="preserve">the </w:t>
              </w:r>
            </w:hyperlink>
            <w:hyperlink r:id="rId214">
              <w:r>
                <w:rPr>
                  <w:rFonts w:ascii="Times New Roman" w:cs="Times New Roman" w:eastAsia="Times New Roman" w:hAnsi="Times New Roman"/>
                  <w:sz w:val="18"/>
                  <w:szCs w:val="18"/>
                  <w:color w:val="0000FF"/>
                </w:rPr>
                <w:t xml:space="preserve">Current Report </w:t>
              </w:r>
            </w:hyperlink>
            <w:hyperlink r:id="rId223">
              <w:r>
                <w:rPr>
                  <w:rFonts w:ascii="Times New Roman" w:cs="Times New Roman" w:eastAsia="Times New Roman" w:hAnsi="Times New Roman"/>
                  <w:sz w:val="18"/>
                  <w:szCs w:val="18"/>
                  <w:color w:val="0000FF"/>
                </w:rPr>
                <w:t>on Form 8-K filed by Charter Communications, Inc. on January 22, 2014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Form of Stock Option Agreement dated January 15, 2014 (incorporated by reference to Exhibit 10.1 to the Current Report on Form 8-K</w:t>
              </w:r>
            </w:hyperlink>
          </w:p>
        </w:tc>
      </w:tr>
      <w:tr>
        <w:trPr>
          <w:trHeight w:val="155"/>
        </w:trPr>
        <w:tc>
          <w:tcPr>
            <w:tcW w:w="124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filed by Charter Communications, Inc. on January 22, 2014 (File No. 001-33664)).</w:t>
              </w:r>
            </w:hyperlink>
          </w:p>
        </w:tc>
        <w:tc>
          <w:tcPr>
            <w:tcW w:w="432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10.55+</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Form of Restricted Stock Unit Agreement dated January 15, 2014 (incorporated by reference to Exhibit 10.2 to the Current Report on</w:t>
              </w:r>
            </w:hyperlink>
          </w:p>
        </w:tc>
      </w:tr>
      <w:tr>
        <w:trPr>
          <w:trHeight w:val="156"/>
        </w:trPr>
        <w:tc>
          <w:tcPr>
            <w:tcW w:w="124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Form 8-K filed by Charter Communications, Inc. on January 22, 2014 (File No. 001-33664)).</w:t>
              </w:r>
            </w:hyperlink>
          </w:p>
        </w:tc>
        <w:tc>
          <w:tcPr>
            <w:tcW w:w="34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Form of Amendment to Nonqualified Stock Option Agreements Granted Under the Charter Communications, Inc. Amended and Restated</w:t>
              </w:r>
            </w:hyperlink>
          </w:p>
        </w:tc>
      </w:tr>
      <w:tr>
        <w:trPr>
          <w:trHeight w:val="156"/>
        </w:trPr>
        <w:tc>
          <w:tcPr>
            <w:tcW w:w="124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2009 Stock Incentive Plan, dated as of October 25, 2016 (incorporated by reference to Exhibit 10.2 to the Current Report on Form 8-K of</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20" w:type="dxa"/>
            <w:vAlign w:val="bottom"/>
            <w:gridSpan w:val="33"/>
          </w:tcPr>
          <w:p>
            <w:pPr>
              <w:spacing w:after="0" w:line="169"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Charter Communications, Inc. filed on October 28, 2016 (File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Form of Performance-Vesting Stock Option Agreement granted to certain executive officers in 2016 under the Charter Communications,</w:t>
              </w:r>
            </w:hyperlink>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Inc. Amended and Restated 2009 Stock Incentive Plan (incorporated by reference to Exhibit 10.102 to the Annual Report on Form 10-K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04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of Charter Communications, Inc. filed on February 16, 2017 (File No. 001-33664)).</w:t>
              </w:r>
            </w:hyperlink>
          </w:p>
        </w:tc>
        <w:tc>
          <w:tcPr>
            <w:tcW w:w="412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Form of Performance-Vesting Restricted Stock Unit Agreement granted to certain executive officers in 2016 under the Charter</w:t>
              </w:r>
            </w:hyperlink>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Communications, Inc. Amended and Restated 2009 Stock Incentive Plan (incorporated by reference to Exhibit 10.103 to the Annual</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6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Report on Form 10-K of Charter Communications, Inc. filed on February 16, 2017 (File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Charter Communications, Inc. 2019 Stock Incentive Plan (incorporated by reference to Annex A to the proxy statement for the Charter</w:t>
              </w:r>
            </w:hyperlink>
          </w:p>
        </w:tc>
      </w:tr>
      <w:tr>
        <w:trPr>
          <w:trHeight w:val="156"/>
        </w:trPr>
        <w:tc>
          <w:tcPr>
            <w:tcW w:w="124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Communications, Inc. 2019 Annual Meeting of Stockholders filed March 14, 2019 (File No. 001-33664)).</w:t>
              </w:r>
            </w:hyperlink>
          </w:p>
        </w:tc>
        <w:tc>
          <w:tcPr>
            <w:tcW w:w="25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Amendment to the Charter Communications, Inc. 2019 Stock Incentive Plan, dated as of January 28, 2020 (incorporated by reference to</w:t>
              </w:r>
            </w:hyperlink>
          </w:p>
        </w:tc>
      </w:tr>
      <w:tr>
        <w:trPr>
          <w:trHeight w:val="156"/>
        </w:trPr>
        <w:tc>
          <w:tcPr>
            <w:tcW w:w="124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Exhibit 10.152 to the Annual Report on Form 10-K of Charter Communications, Inc. filed on January 31, 2020 (File No. 001-33664))</w:t>
              </w:r>
            </w:hyperlink>
            <w:hyperlink r:id="rId231">
              <w:r>
                <w:rPr>
                  <w:rFonts w:ascii="Times New Roman" w:cs="Times New Roman" w:eastAsia="Times New Roman" w:hAnsi="Times New Roman"/>
                  <w:sz w:val="18"/>
                  <w:szCs w:val="18"/>
                  <w:color w:val="0000FF"/>
                  <w:w w:val="99"/>
                </w:rPr>
                <w:t>.</w:t>
              </w:r>
            </w:hyperlink>
          </w:p>
        </w:tc>
        <w:tc>
          <w:tcPr>
            <w:tcW w:w="500" w:type="dxa"/>
            <w:vAlign w:val="bottom"/>
            <w:tcBorders>
              <w:top w:val="single" w:sz="8" w:color="0000FF"/>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Form of Nonqualified Stock Option Agreement under the Charter Communications, Inc. 2019 Stock Incentive Plan (incorporated by</w:t>
              </w:r>
            </w:hyperlink>
          </w:p>
        </w:tc>
      </w:tr>
      <w:tr>
        <w:trPr>
          <w:trHeight w:val="156"/>
        </w:trPr>
        <w:tc>
          <w:tcPr>
            <w:tcW w:w="1240" w:type="dxa"/>
            <w:vAlign w:val="bottom"/>
          </w:tcPr>
          <w:p>
            <w:pPr>
              <w:spacing w:after="0"/>
              <w:rPr>
                <w:sz w:val="13"/>
                <w:szCs w:val="13"/>
                <w:color w:val="auto"/>
              </w:rPr>
            </w:pPr>
          </w:p>
        </w:tc>
        <w:tc>
          <w:tcPr>
            <w:tcW w:w="101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reference to Exhibit 10.2 to the Quarterly Report on Form 10-Q of Charter Communications, Inc. filed July 26, 2019 (File No. 001-</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32">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7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Form of Restricted Stock Unit Agreement under the Charter Communications, Inc. 2019 Stock Incentive Plan (incorporated by reference</w:t>
              </w:r>
            </w:hyperlink>
          </w:p>
        </w:tc>
      </w:tr>
      <w:tr>
        <w:trPr>
          <w:trHeight w:val="155"/>
        </w:trPr>
        <w:tc>
          <w:tcPr>
            <w:tcW w:w="124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 xml:space="preserve">to Exhibit 10.3 to the </w:t>
              </w:r>
            </w:hyperlink>
            <w:hyperlink r:id="rId232">
              <w:r>
                <w:rPr>
                  <w:rFonts w:ascii="Times New Roman" w:cs="Times New Roman" w:eastAsia="Times New Roman" w:hAnsi="Times New Roman"/>
                  <w:sz w:val="18"/>
                  <w:szCs w:val="18"/>
                  <w:color w:val="0000FF"/>
                  <w:w w:val="99"/>
                </w:rPr>
                <w:t xml:space="preserve">Quarterly Report </w:t>
              </w:r>
            </w:hyperlink>
            <w:hyperlink r:id="rId233">
              <w:r>
                <w:rPr>
                  <w:rFonts w:ascii="Times New Roman" w:cs="Times New Roman" w:eastAsia="Times New Roman" w:hAnsi="Times New Roman"/>
                  <w:sz w:val="18"/>
                  <w:szCs w:val="18"/>
                  <w:color w:val="0000FF"/>
                  <w:w w:val="99"/>
                </w:rPr>
                <w:t>on Form 10-Q of Charter Communications, Inc. filed July 26, 2019 (File No. 001-33664)).</w:t>
              </w:r>
            </w:hyperlink>
          </w:p>
        </w:tc>
        <w:tc>
          <w:tcPr>
            <w:tcW w:w="90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Form of Restricted Stock Agreement under the Charter Communications, Inc. 2019 Stock Incentive Plan (incorporated by reference to</w:t>
              </w:r>
            </w:hyperlink>
          </w:p>
        </w:tc>
      </w:tr>
      <w:tr>
        <w:trPr>
          <w:trHeight w:val="156"/>
        </w:trPr>
        <w:tc>
          <w:tcPr>
            <w:tcW w:w="1240" w:type="dxa"/>
            <w:vAlign w:val="bottom"/>
          </w:tcPr>
          <w:p>
            <w:pPr>
              <w:spacing w:after="0"/>
              <w:rPr>
                <w:sz w:val="13"/>
                <w:szCs w:val="13"/>
                <w:color w:val="auto"/>
              </w:rPr>
            </w:pPr>
          </w:p>
        </w:tc>
        <w:tc>
          <w:tcPr>
            <w:tcW w:w="101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 xml:space="preserve">Exhibit 10.4 to the </w:t>
              </w:r>
            </w:hyperlink>
            <w:hyperlink r:id="rId232">
              <w:r>
                <w:rPr>
                  <w:rFonts w:ascii="Times New Roman" w:cs="Times New Roman" w:eastAsia="Times New Roman" w:hAnsi="Times New Roman"/>
                  <w:sz w:val="18"/>
                  <w:szCs w:val="18"/>
                  <w:color w:val="0000FF"/>
                </w:rPr>
                <w:t xml:space="preserve">Quarterly Report </w:t>
              </w:r>
            </w:hyperlink>
            <w:hyperlink r:id="rId234">
              <w:r>
                <w:rPr>
                  <w:rFonts w:ascii="Times New Roman" w:cs="Times New Roman" w:eastAsia="Times New Roman" w:hAnsi="Times New Roman"/>
                  <w:sz w:val="18"/>
                  <w:szCs w:val="18"/>
                  <w:color w:val="0000FF"/>
                </w:rPr>
                <w:t>on Form 10-Q of Charter Communications, Inc. filed July 26, 2019 (File No. 001-33664)).</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gridSpan w:val="6"/>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of Performance-Vesting Stock Option Agreement (incorporated by reference to Exhibit 10.1 to the Current Report on Form 8-K</w:t>
              </w:r>
            </w:hyperlink>
          </w:p>
        </w:tc>
      </w:tr>
      <w:tr>
        <w:trPr>
          <w:trHeight w:val="156"/>
        </w:trPr>
        <w:tc>
          <w:tcPr>
            <w:tcW w:w="1240" w:type="dxa"/>
            <w:vAlign w:val="bottom"/>
          </w:tcPr>
          <w:p>
            <w:pPr>
              <w:spacing w:after="0"/>
              <w:rPr>
                <w:sz w:val="13"/>
                <w:szCs w:val="13"/>
                <w:color w:val="auto"/>
              </w:rPr>
            </w:pPr>
          </w:p>
        </w:tc>
        <w:tc>
          <w:tcPr>
            <w:tcW w:w="1028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filed by Charter Communications, Inc. on February 24, 2023 (File No. 001-33664)).</w:t>
              </w:r>
            </w:hyperlink>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Form of Performance-Vesting Restricted Stock Unit Agreement (incorporated by reference to Exhibit 10.2 to the Current Report on Form</w:t>
              </w:r>
            </w:hyperlink>
          </w:p>
        </w:tc>
      </w:tr>
      <w:tr>
        <w:trPr>
          <w:trHeight w:val="155"/>
        </w:trPr>
        <w:tc>
          <w:tcPr>
            <w:tcW w:w="1240" w:type="dxa"/>
            <w:vAlign w:val="bottom"/>
          </w:tcPr>
          <w:p>
            <w:pPr>
              <w:spacing w:after="0"/>
              <w:rPr>
                <w:sz w:val="13"/>
                <w:szCs w:val="13"/>
                <w:color w:val="auto"/>
              </w:rPr>
            </w:pPr>
          </w:p>
        </w:tc>
        <w:tc>
          <w:tcPr>
            <w:tcW w:w="1026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8-K filed by Charter Communications, Inc. on February 24, 2023(File No. 001-33664)).</w:t>
              </w:r>
            </w:hyperlink>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Time Warner Cable Inc. 2006 Stock Incentive Plan (incorporated herein by reference to Exhibit 10.45 to TWC’s Current Report on Form</w:t>
              </w:r>
            </w:hyperlink>
          </w:p>
        </w:tc>
      </w:tr>
      <w:tr>
        <w:trPr>
          <w:trHeight w:val="155"/>
        </w:trPr>
        <w:tc>
          <w:tcPr>
            <w:tcW w:w="124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8-K dated February 13, 2007 and filed with the SEC on February 13, 2007).</w:t>
              </w:r>
            </w:hyperlink>
          </w:p>
        </w:tc>
        <w:tc>
          <w:tcPr>
            <w:tcW w:w="45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Time Warner Cable Inc. 2006 Stock Incentive Plan, as amended, effective March 12, 2009 (incorporated herein by reference to Exhibit</w:t>
              </w:r>
            </w:hyperlink>
          </w:p>
        </w:tc>
      </w:tr>
      <w:tr>
        <w:trPr>
          <w:trHeight w:val="156"/>
        </w:trPr>
        <w:tc>
          <w:tcPr>
            <w:tcW w:w="124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TWC’s Quarterly Report on Form 10-Q for the quarter ended March 31, 2009).</w:t>
              </w:r>
            </w:hyperlink>
          </w:p>
        </w:tc>
        <w:tc>
          <w:tcPr>
            <w:tcW w:w="372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Time Warner Cable Inc. 2011 Stock Incentive Plan (incorporated herein by reference to Annex A to TWC’s definitive Proxy Statement</w:t>
              </w:r>
            </w:hyperlink>
          </w:p>
        </w:tc>
      </w:tr>
      <w:tr>
        <w:trPr>
          <w:trHeight w:val="155"/>
        </w:trPr>
        <w:tc>
          <w:tcPr>
            <w:tcW w:w="124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dated April 6, 2011 and filed with the SEC on April 6, 2011).</w:t>
              </w:r>
            </w:hyperlink>
          </w:p>
        </w:tc>
        <w:tc>
          <w:tcPr>
            <w:tcW w:w="5640" w:type="dxa"/>
            <w:vAlign w:val="bottom"/>
            <w:tcBorders>
              <w:top w:val="single" w:sz="8" w:color="0000FF"/>
            </w:tcBorders>
            <w:gridSpan w:val="23"/>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10.69+</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Amended and Restated Employment Agreement, dated as of September 20, 2022, by and between Charter Communications, Inc. and</w:t>
              </w:r>
            </w:hyperlink>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Thomas M. Rutledge (incorporated by reference to Exhibit 10.1 to the Current Report on Form 8-K filed by Charter Communications,</w:t>
              </w:r>
            </w:hyperlink>
          </w:p>
        </w:tc>
        <w:tc>
          <w:tcPr>
            <w:tcW w:w="280" w:type="dxa"/>
            <w:vAlign w:val="bottom"/>
            <w:gridSpan w:val="14"/>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2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Inc. on September 21, 2022 (File No. 001-33664)).</w:t>
              </w:r>
            </w:hyperlink>
          </w:p>
        </w:tc>
        <w:tc>
          <w:tcPr>
            <w:tcW w:w="200" w:type="dxa"/>
            <w:vAlign w:val="bottom"/>
            <w:gridSpan w:val="10"/>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6100" w:type="dxa"/>
            <w:vAlign w:val="bottom"/>
            <w:gridSpan w:val="1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19"/>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10.70+</w:t>
            </w:r>
          </w:p>
        </w:tc>
        <w:tc>
          <w:tcPr>
            <w:tcW w:w="10320" w:type="dxa"/>
            <w:vAlign w:val="bottom"/>
            <w:gridSpan w:val="43"/>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Employment Agreement, dated as of August 15, 2023, by and between Charter Communications, Inc. and David G. Ellen (incorporated</w:t>
              </w:r>
            </w:hyperlink>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160" w:type="dxa"/>
            <w:vAlign w:val="bottom"/>
            <w:gridSpan w:val="2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19"/>
          </w:tcPr>
          <w:p>
            <w:pPr>
              <w:spacing w:after="0" w:line="20" w:lineRule="exact"/>
              <w:rPr>
                <w:sz w:val="1"/>
                <w:szCs w:val="1"/>
                <w:color w:val="auto"/>
              </w:rPr>
            </w:pPr>
          </w:p>
        </w:tc>
      </w:tr>
      <w:tr>
        <w:trPr>
          <w:trHeight w:val="156"/>
        </w:trPr>
        <w:tc>
          <w:tcPr>
            <w:tcW w:w="1240" w:type="dxa"/>
            <w:vAlign w:val="bottom"/>
          </w:tcPr>
          <w:p>
            <w:pPr>
              <w:spacing w:after="0"/>
              <w:rPr>
                <w:sz w:val="13"/>
                <w:szCs w:val="13"/>
                <w:color w:val="auto"/>
              </w:rPr>
            </w:pPr>
          </w:p>
        </w:tc>
        <w:tc>
          <w:tcPr>
            <w:tcW w:w="10320" w:type="dxa"/>
            <w:vAlign w:val="bottom"/>
            <w:gridSpan w:val="43"/>
          </w:tcPr>
          <w:p>
            <w:pPr>
              <w:spacing w:after="0" w:line="15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by reference to Exhibit 10.1 to the Current Report on Form 8-K filed by Charter Communications, Inc. on August 21, 2023 (File No. 001-</w:t>
              </w:r>
            </w:hyperlink>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41">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7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10.71(a)+</w:t>
            </w:r>
          </w:p>
        </w:tc>
        <w:tc>
          <w:tcPr>
            <w:tcW w:w="10320" w:type="dxa"/>
            <w:vAlign w:val="bottom"/>
            <w:gridSpan w:val="43"/>
          </w:tcPr>
          <w:p>
            <w:pPr>
              <w:spacing w:after="0"/>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Amended and Restated Employment Agreement, dated as of September 20, 2022, by and between Charter Communications, Inc. and</w:t>
              </w:r>
            </w:hyperlink>
          </w:p>
        </w:tc>
      </w:tr>
    </w:tbl>
    <w:p>
      <w:pPr>
        <w:ind w:left="1240"/>
        <w:spacing w:after="0" w:line="233" w:lineRule="auto"/>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Christopher L. Winfrey (incorporated by reference to Exhibit 10.2 to the Current Report on Form 8-K filed by Charter Communications,</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Inc. on September 21, 2022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9" w:name="page70"/>
    <w:bookmarkEnd w:id="69"/>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10.71(b)+</w:t>
            </w:r>
          </w:p>
        </w:tc>
        <w:tc>
          <w:tcPr>
            <w:tcW w:w="10180" w:type="dxa"/>
            <w:vAlign w:val="bottom"/>
            <w:gridSpan w:val="25"/>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Amendment to Amended and Restated Employment Agreement dated as of February 22, 2023 by and between Charter Communications</w:t>
              </w:r>
            </w:hyperlink>
          </w:p>
        </w:tc>
      </w:tr>
      <w:tr>
        <w:trPr>
          <w:trHeight w:val="156"/>
        </w:trPr>
        <w:tc>
          <w:tcPr>
            <w:tcW w:w="124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Inc. and Christopher L. Winfrey (incorporated by reference to Exhibit 10.3 to the Current Report on Form 8-K filed by Charter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40" w:type="dxa"/>
            <w:vAlign w:val="bottom"/>
            <w:gridSpan w:val="13"/>
          </w:tcPr>
          <w:p>
            <w:pPr>
              <w:spacing w:after="0" w:line="169"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Communications, Inc. on February 24, 2023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10.72(a)+</w:t>
            </w:r>
          </w:p>
        </w:tc>
        <w:tc>
          <w:tcPr>
            <w:tcW w:w="10180" w:type="dxa"/>
            <w:vAlign w:val="bottom"/>
            <w:gridSpan w:val="25"/>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Employment Agreement, dated as of September 20, 2022, by and between Charter Communications, Inc. and Richard J. DiGeronimo</w:t>
              </w:r>
            </w:hyperlink>
          </w:p>
        </w:tc>
      </w:tr>
      <w:tr>
        <w:trPr>
          <w:trHeight w:val="156"/>
        </w:trPr>
        <w:tc>
          <w:tcPr>
            <w:tcW w:w="124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(incorporated by reference to Exhibit 10.3 to the Current Report on Form 8-K filed by Charter Communications, Inc. on September 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2022 (File No. 001-33664)).</w:t>
              </w:r>
            </w:hyperlink>
          </w:p>
        </w:tc>
        <w:tc>
          <w:tcPr>
            <w:tcW w:w="8100" w:type="dxa"/>
            <w:vAlign w:val="bottom"/>
            <w:gridSpan w:val="20"/>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10.72(b)+</w:t>
            </w:r>
          </w:p>
        </w:tc>
        <w:tc>
          <w:tcPr>
            <w:tcW w:w="10180" w:type="dxa"/>
            <w:vAlign w:val="bottom"/>
            <w:gridSpan w:val="25"/>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Amendment to Employment Agreement dated as of February 22, 2023 by and between Charter Communications Inc. and Richard J.</w:t>
              </w:r>
            </w:hyperlink>
          </w:p>
        </w:tc>
      </w:tr>
      <w:tr>
        <w:trPr>
          <w:trHeight w:val="156"/>
        </w:trPr>
        <w:tc>
          <w:tcPr>
            <w:tcW w:w="1240" w:type="dxa"/>
            <w:vAlign w:val="bottom"/>
          </w:tcPr>
          <w:p>
            <w:pPr>
              <w:spacing w:after="0"/>
              <w:rPr>
                <w:sz w:val="13"/>
                <w:szCs w:val="13"/>
                <w:color w:val="auto"/>
              </w:rPr>
            </w:pPr>
          </w:p>
        </w:tc>
        <w:tc>
          <w:tcPr>
            <w:tcW w:w="101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DiGeronimo (incorporated by reference to Exhibit 10.4 to the Current Report on Form 8-K filed by Charter Communications, Inc.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February 24, 2023 (File No. 001-33664)).</w:t>
              </w:r>
            </w:hyperlink>
          </w:p>
        </w:tc>
        <w:tc>
          <w:tcPr>
            <w:tcW w:w="694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10180" w:type="dxa"/>
            <w:vAlign w:val="bottom"/>
            <w:gridSpan w:val="25"/>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Employment Agreement, dated as of January 26, 2023, by and between Charter Communications, Inc. and Jessica Fischer (incorporated</w:t>
              </w:r>
            </w:hyperlink>
          </w:p>
        </w:tc>
      </w:tr>
      <w:tr>
        <w:trPr>
          <w:trHeight w:val="156"/>
        </w:trPr>
        <w:tc>
          <w:tcPr>
            <w:tcW w:w="1240" w:type="dxa"/>
            <w:vAlign w:val="bottom"/>
          </w:tcPr>
          <w:p>
            <w:pPr>
              <w:spacing w:after="0"/>
              <w:rPr>
                <w:sz w:val="13"/>
                <w:szCs w:val="13"/>
                <w:color w:val="auto"/>
              </w:rPr>
            </w:pPr>
          </w:p>
        </w:tc>
        <w:tc>
          <w:tcPr>
            <w:tcW w:w="101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by reference to Exhibit 10.71(b) to the Annual Report on Form 10-K of Charter Communications, Inc. filed on January 27, 2023 (File No.</w:t>
              </w:r>
            </w:hyperlink>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001-33664)).</w:t>
              </w:r>
            </w:hyperlink>
          </w:p>
        </w:tc>
        <w:tc>
          <w:tcPr>
            <w:tcW w:w="7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10.74+*</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Employment Agreement, dated as of July 1, 2022, by and between Charter Communications, Inc. and Adam Ray.</w:t>
            </w: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10.75</w:t>
            </w:r>
          </w:p>
        </w:tc>
        <w:tc>
          <w:tcPr>
            <w:tcW w:w="10180" w:type="dxa"/>
            <w:vAlign w:val="bottom"/>
            <w:gridSpan w:val="25"/>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Letter Agreement, dated as of December 23, 2016, between Charter Communications, Inc. and Advance/Newhouse Partnership</w:t>
              </w:r>
            </w:hyperlink>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(incorporated by reference to Exhibit 99.1 to the Current Report on Form 8-K of Charter Communications, Inc. filed on December 28,</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2016 (File No. 001-33664)).</w:t>
              </w:r>
            </w:hyperlink>
          </w:p>
        </w:tc>
        <w:tc>
          <w:tcPr>
            <w:tcW w:w="798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10.76</w:t>
            </w:r>
          </w:p>
        </w:tc>
        <w:tc>
          <w:tcPr>
            <w:tcW w:w="10180" w:type="dxa"/>
            <w:vAlign w:val="bottom"/>
            <w:gridSpan w:val="25"/>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Amendment to Letter Agreement, dated as of December 21, 2017, between Charter Communications, Inc. and Advance/Newhouse</w:t>
              </w:r>
            </w:hyperlink>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Partnership (incorporated by reference to Exhibit 99.1 to the Current Report on Form 8-K of Charter Communications, Inc. filed on</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December 22, 2017 (File No. 001-33664)).</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10.77</w:t>
            </w:r>
          </w:p>
        </w:tc>
        <w:tc>
          <w:tcPr>
            <w:tcW w:w="10180" w:type="dxa"/>
            <w:vAlign w:val="bottom"/>
            <w:gridSpan w:val="25"/>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Letter Agreement, dated as of February 23, 2021, between Charter Communications, Inc. and Liberty Broadband Corporation</w:t>
              </w:r>
            </w:hyperlink>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(incorporated by reference to Exhibit 99.1 to the Current Report on Form 8-K of Charter Communications, Inc. filed on February 24,</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2021 (File No. 001-33664)).</w:t>
              </w:r>
            </w:hyperlink>
          </w:p>
        </w:tc>
        <w:tc>
          <w:tcPr>
            <w:tcW w:w="8060" w:type="dxa"/>
            <w:vAlign w:val="bottom"/>
            <w:gridSpan w:val="18"/>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Subsidiaries of Charter Communications, Inc.</w:t>
            </w: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3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Consent of KPMG LLP.</w:t>
            </w:r>
          </w:p>
        </w:tc>
        <w:tc>
          <w:tcPr>
            <w:tcW w:w="6880" w:type="dxa"/>
            <w:vAlign w:val="bottom"/>
            <w:gridSpan w:val="18"/>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Certificate of Chief Executive Officer pursuant to Rule 13a-14(a)/Rule 15d-14(a) under the Securities Exchange Act of 1934.</w:t>
            </w:r>
          </w:p>
        </w:tc>
        <w:tc>
          <w:tcPr>
            <w:tcW w:w="1140" w:type="dxa"/>
            <w:vAlign w:val="bottom"/>
            <w:gridSpan w:val="13"/>
          </w:tcPr>
          <w:p>
            <w:pPr>
              <w:spacing w:after="0"/>
              <w:rPr>
                <w:sz w:val="18"/>
                <w:szCs w:val="18"/>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Certificate of Chief Financial Officer pursuant to Rule 13a-14(a)/Rule 15d-14(a) under the Securities Exchange Act of 1934.</w:t>
            </w: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40" w:type="dxa"/>
            <w:vAlign w:val="bottom"/>
            <w:gridSpan w:val="8"/>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(Chief Executive</w:t>
            </w:r>
          </w:p>
        </w:tc>
      </w:tr>
      <w:tr>
        <w:trPr>
          <w:trHeight w:val="155"/>
        </w:trPr>
        <w:tc>
          <w:tcPr>
            <w:tcW w:w="1240" w:type="dxa"/>
            <w:vAlign w:val="bottom"/>
          </w:tcPr>
          <w:p>
            <w:pPr>
              <w:spacing w:after="0"/>
              <w:rPr>
                <w:sz w:val="13"/>
                <w:szCs w:val="13"/>
                <w:color w:val="auto"/>
              </w:rPr>
            </w:pPr>
          </w:p>
        </w:tc>
        <w:tc>
          <w:tcPr>
            <w:tcW w:w="1006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120" w:type="dxa"/>
            <w:vAlign w:val="bottom"/>
            <w:gridSpan w:val="6"/>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40" w:type="dxa"/>
            <w:vAlign w:val="bottom"/>
            <w:gridSpan w:val="8"/>
          </w:tcPr>
          <w:p>
            <w:pPr>
              <w:spacing w:after="0" w:line="20" w:lineRule="exact"/>
              <w:rPr>
                <w:sz w:val="1"/>
                <w:szCs w:val="1"/>
                <w:color w:val="auto"/>
              </w:rPr>
            </w:pPr>
          </w:p>
        </w:tc>
        <w:tc>
          <w:tcPr>
            <w:tcW w:w="3320" w:type="dxa"/>
            <w:vAlign w:val="bottom"/>
            <w:gridSpan w:val="16"/>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(Chief Financial</w:t>
            </w:r>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40" w:type="dxa"/>
            <w:vAlign w:val="bottom"/>
            <w:gridSpan w:val="8"/>
          </w:tcPr>
          <w:p>
            <w:pPr>
              <w:spacing w:after="0" w:line="20" w:lineRule="exact"/>
              <w:rPr>
                <w:sz w:val="1"/>
                <w:szCs w:val="1"/>
                <w:color w:val="auto"/>
              </w:rPr>
            </w:pPr>
          </w:p>
        </w:tc>
        <w:tc>
          <w:tcPr>
            <w:tcW w:w="3320" w:type="dxa"/>
            <w:vAlign w:val="bottom"/>
            <w:gridSpan w:val="16"/>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6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Charter Communications, Inc. Compensation Recovery Policy, effective as of October 1, 2023.</w:t>
            </w:r>
          </w:p>
        </w:tc>
        <w:tc>
          <w:tcPr>
            <w:tcW w:w="3320" w:type="dxa"/>
            <w:vAlign w:val="bottom"/>
            <w:gridSpan w:val="16"/>
          </w:tcPr>
          <w:p>
            <w:pPr>
              <w:spacing w:after="0"/>
              <w:rPr>
                <w:sz w:val="19"/>
                <w:szCs w:val="19"/>
                <w:color w:val="auto"/>
              </w:rPr>
            </w:pPr>
          </w:p>
        </w:tc>
      </w:tr>
    </w:tbl>
    <w:p>
      <w:pPr>
        <w:spacing w:after="0" w:line="22" w:lineRule="exact"/>
        <w:rPr>
          <w:sz w:val="20"/>
          <w:szCs w:val="20"/>
          <w:color w:val="auto"/>
        </w:rPr>
      </w:pPr>
    </w:p>
    <w:p>
      <w:pPr>
        <w:jc w:val="both"/>
        <w:ind w:left="1260" w:hanging="1234"/>
        <w:spacing w:after="0" w:line="220" w:lineRule="auto"/>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Charter Communications, Inc.’s Annual Report on Form 10-K for the year ended December 31, 2023, filed with the Securities and Exchange Commission on February 2, 2024, formatted in iXBRL (inline eXtensible Business Reporting Language) includes: (i) the Consolidated Balance Sheets; (ii) the Consolidated Statements of Operations; (iii) the Consolidated Statements of Changes in Shareholders' Equity; (iv) the Consolidated Statements of Cash Flows; and (vi) the Notes to the Consolidated Financial Statements.</w:t>
      </w:r>
    </w:p>
    <w:p>
      <w:pPr>
        <w:sectPr>
          <w:pgSz w:w="11900" w:h="16838" w:orient="portrait"/>
          <w:cols w:equalWidth="0" w:num="1">
            <w:col w:w="11220"/>
          </w:cols>
          <w:pgMar w:left="320" w:top="1040" w:right="359" w:bottom="1440" w:gutter="0" w:footer="0" w:header="0"/>
        </w:sectPr>
      </w:pP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formatted in iXBRL and contained in Exhibit 101.</w:t>
      </w:r>
    </w:p>
    <w:p>
      <w:pPr>
        <w:spacing w:after="0" w:line="104" w:lineRule="exact"/>
        <w:rPr>
          <w:sz w:val="20"/>
          <w:szCs w:val="20"/>
          <w:color w:val="auto"/>
        </w:rPr>
      </w:pPr>
    </w:p>
    <w:p>
      <w:pPr>
        <w:sectPr>
          <w:pgSz w:w="11900" w:h="16838" w:orient="portrait"/>
          <w:cols w:equalWidth="0" w:num="2">
            <w:col w:w="540" w:space="720"/>
            <w:col w:w="9960"/>
          </w:cols>
          <w:pgMar w:left="320" w:top="10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ectPr>
          <w:pgSz w:w="11900" w:h="16838" w:orient="portrait"/>
          <w:cols w:equalWidth="0" w:num="1">
            <w:col w:w="11220"/>
          </w:cols>
          <w:pgMar w:left="320" w:top="1040" w:right="359" w:bottom="1440" w:gutter="0" w:footer="0" w:header="0"/>
          <w:type w:val="continuous"/>
        </w:sectPr>
      </w:pP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ind w:left="260" w:hanging="252"/>
        <w:spacing w:after="0" w:line="204" w:lineRule="auto"/>
        <w:tabs>
          <w:tab w:leader="none" w:pos="26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Management compensatory plan or arrangement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0" w:right="359" w:bottom="1440" w:gutter="0" w:footer="0" w:header="0"/>
          <w:type w:val="continuous"/>
        </w:sectPr>
      </w:pPr>
    </w:p>
    <w:bookmarkStart w:id="70" w:name="page71"/>
    <w:bookmarkEnd w:id="7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81"/>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42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340" w:type="dxa"/>
            <w:vAlign w:val="bottom"/>
            <w:gridSpan w:val="5"/>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rPr>
              <w:t>F-2</w:t>
            </w:r>
          </w:p>
        </w:tc>
        <w:tc>
          <w:tcPr>
            <w:tcW w:w="60" w:type="dxa"/>
            <w:vAlign w:val="bottom"/>
          </w:tcPr>
          <w:p>
            <w:pPr>
              <w:spacing w:after="0"/>
              <w:rPr>
                <w:sz w:val="16"/>
                <w:szCs w:val="16"/>
                <w:color w:val="auto"/>
              </w:rPr>
            </w:pPr>
          </w:p>
        </w:tc>
      </w:tr>
      <w:tr>
        <w:trPr>
          <w:trHeight w:val="245"/>
        </w:trPr>
        <w:tc>
          <w:tcPr>
            <w:tcW w:w="956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Auditor Name: KPMG LLP</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9"/>
        </w:trPr>
        <w:tc>
          <w:tcPr>
            <w:tcW w:w="956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Auditor Location: St. Louis, MO</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956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Auditor Firm ID: 185</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4"/>
        </w:trPr>
        <w:tc>
          <w:tcPr>
            <w:tcW w:w="95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1460" w:type="dxa"/>
            <w:vAlign w:val="bottom"/>
            <w:gridSpan w:val="3"/>
          </w:tcPr>
          <w:p>
            <w:pPr>
              <w:jc w:val="center"/>
              <w:ind w:left="990"/>
              <w:spacing w:after="0" w:line="194" w:lineRule="exact"/>
              <w:rPr>
                <w:sz w:val="20"/>
                <w:szCs w:val="20"/>
                <w:color w:val="auto"/>
              </w:rPr>
            </w:pPr>
            <w:r>
              <w:rPr>
                <w:rFonts w:ascii="Times New Roman" w:cs="Times New Roman" w:eastAsia="Times New Roman" w:hAnsi="Times New Roman"/>
                <w:sz w:val="18"/>
                <w:szCs w:val="18"/>
                <w:color w:val="0000FF"/>
              </w:rPr>
              <w:t>F-4</w:t>
            </w:r>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2022 and 2021</w:t>
            </w: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0000FF"/>
              </w:rPr>
              <w:t>F-5</w:t>
            </w:r>
          </w:p>
        </w:tc>
      </w:tr>
      <w:tr>
        <w:trPr>
          <w:trHeight w:val="20"/>
        </w:trPr>
        <w:tc>
          <w:tcPr>
            <w:tcW w:w="3140" w:type="dxa"/>
            <w:vAlign w:val="bottom"/>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2023, 2022 and 2021</w:t>
            </w: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0000FF"/>
              </w:rPr>
              <w:t>F-6</w:t>
            </w:r>
          </w:p>
        </w:tc>
      </w:tr>
      <w:tr>
        <w:trPr>
          <w:trHeight w:val="209"/>
        </w:trPr>
        <w:tc>
          <w:tcPr>
            <w:tcW w:w="69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1520" w:type="dxa"/>
            <w:vAlign w:val="bottom"/>
            <w:tcBorders>
              <w:top w:val="single" w:sz="8" w:color="0000FF"/>
            </w:tcBorders>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F-7</w:t>
            </w:r>
          </w:p>
        </w:tc>
        <w:tc>
          <w:tcPr>
            <w:tcW w:w="60" w:type="dxa"/>
            <w:vAlign w:val="bottom"/>
          </w:tcPr>
          <w:p>
            <w:pPr>
              <w:spacing w:after="0"/>
              <w:rPr>
                <w:sz w:val="18"/>
                <w:szCs w:val="18"/>
                <w:color w:val="auto"/>
              </w:rPr>
            </w:pPr>
          </w:p>
        </w:tc>
      </w:tr>
      <w:tr>
        <w:trPr>
          <w:trHeight w:val="209"/>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0000FF"/>
              </w:rPr>
              <w:t>F-8</w:t>
            </w:r>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60" w:top="887" w:right="5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on the Consolidated Financial Statements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Charter Communications, Inc. and subsidiaries (the Company) as of December 31, 2023 and December 31, 2022, the related consolidated statements of operations, changes in shareholders’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December 31, 2022, and the results of its operations and its cash flows for each of the years in the three-year period ended December 31, 2023, in conformity with U.S. generally accepted accounting principles.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1, 2024 expressed an unqualified opinion on the effectiveness of the Company’s internal control over financial reporting.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Testing of residential and SMB revenue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12 to the consolidated financial statements, the Company recorded residential and small and medium-sized business (SMB) revenue of $47.5 billion for the year ended December 31, 2023. This revenue is derived primarily from monthly subscription charges from its Internet, video, and voice services. Revenue is recognized as the services are provided to a customer on a monthly basis. The processing and recording of revenue are reliant upon multiple information technology (IT) systems.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residential and SMB revenue as a critical audit matter. Subjective auditor judgment was required in evaluating the sufficiency of audit evidence over residential and SMB revenue due to the volume of data and the number of accounting systems. Specifically, obtaining an understanding of the systems and processes used in the Company’s recognition of residential and SMB revenue and evaluating the related internal controls required significant audit effort, including specialized skills and knowledge related to IT.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2" w:name="page73"/>
    <w:bookmarkEnd w:id="72"/>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residential and SMB revenue processes. This included manual and automated controls over the IT systems used for the processing and recording of residential and SMB revenue. We involved IT professionals with specialized skills and knowledge, who assisted in testing certain IT applications that are used by the Company in its recognition of residential and SMB revenue. We assessed recorded residential and SMB revenue by developing an expectation of revenue recorded in the consolidated financial statements based on cash received during the year. We evaluated the sufficiency of audit evidence obtained by assessing the results of procedures performed, including the appropriateness of the nature and extent of such evidence.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millions, except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20" w:type="dxa"/>
            <w:vAlign w:val="bottom"/>
            <w:vMerge w:val="restart"/>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162"/>
        </w:trPr>
        <w:tc>
          <w:tcPr>
            <w:tcW w:w="80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Accounts receivable, less allowance for doubtful accounts of $268 and $219,</w:t>
            </w:r>
          </w:p>
        </w:tc>
        <w:tc>
          <w:tcPr>
            <w:tcW w:w="3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2,921</w:t>
            </w:r>
          </w:p>
        </w:tc>
        <w:tc>
          <w:tcPr>
            <w:tcW w:w="0" w:type="dxa"/>
            <w:vAlign w:val="bottom"/>
          </w:tcPr>
          <w:p>
            <w:pPr>
              <w:spacing w:after="0"/>
              <w:rPr>
                <w:sz w:val="1"/>
                <w:szCs w:val="1"/>
                <w:color w:val="auto"/>
              </w:rPr>
            </w:pPr>
          </w:p>
        </w:tc>
      </w:tr>
      <w:tr>
        <w:trPr>
          <w:trHeight w:val="21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0" w:type="dxa"/>
            <w:vAlign w:val="bottom"/>
          </w:tcPr>
          <w:p>
            <w:pPr>
              <w:spacing w:after="0"/>
              <w:rPr>
                <w:sz w:val="1"/>
                <w:szCs w:val="1"/>
                <w:color w:val="auto"/>
              </w:rPr>
            </w:pPr>
          </w:p>
        </w:tc>
      </w:tr>
      <w:tr>
        <w:trPr>
          <w:trHeight w:val="131"/>
        </w:trPr>
        <w:tc>
          <w:tcPr>
            <w:tcW w:w="8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CABLE PROPERTIES: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Property, plant and equipment, net of accumulated depreciation of $37,751 and $36,164,</w:t>
            </w:r>
          </w:p>
        </w:tc>
        <w:tc>
          <w:tcPr>
            <w:tcW w:w="3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Franchises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67,363</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29,668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29,563</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investment in cable properties, net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138,329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135,737</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147,193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144,523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 accrued and other current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10,555</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12,065</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95,777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96,093</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19,058</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$0.001 par value; 900 million shares authorized;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145,225,458 and 152,651,396 shares issued and outstanding, respectively</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stock; $0.001 par value; 1,000 shares authorized;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 share issued and outstanding</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0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Preferred stock; $0.001 par value; 250 million shares authorized;</w:t>
            </w:r>
          </w:p>
        </w:tc>
        <w:tc>
          <w:tcPr>
            <w:tcW w:w="34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 shares issued and outstanding</w:t>
            </w: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23,940</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(14,821)</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Charter shareholders’ equity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9,119</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12,549</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147,193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144,523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and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51,682</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costs and expenses (exclusive of items shown separately below)</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31,482</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41,156</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10,526</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7"/>
        </w:trPr>
        <w:tc>
          <w:tcPr>
            <w:tcW w:w="60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0" w:type="dxa"/>
            <w:vAlign w:val="bottom"/>
          </w:tcPr>
          <w:p>
            <w:pPr>
              <w:spacing w:after="0"/>
              <w:rPr>
                <w:sz w:val="1"/>
                <w:szCs w:val="1"/>
                <w:color w:val="auto"/>
              </w:rPr>
            </w:pPr>
          </w:p>
        </w:tc>
      </w:tr>
      <w:tr>
        <w:trPr>
          <w:trHeight w:val="199"/>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5,320</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0" w:type="dxa"/>
            <w:vAlign w:val="bottom"/>
          </w:tcPr>
          <w:p>
            <w:pPr>
              <w:spacing w:after="0"/>
              <w:rPr>
                <w:sz w:val="1"/>
                <w:szCs w:val="1"/>
                <w:color w:val="auto"/>
              </w:rPr>
            </w:pPr>
          </w:p>
        </w:tc>
      </w:tr>
      <w:tr>
        <w:trPr>
          <w:trHeight w:val="235"/>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EARNINGS PER COMMON SHARE ATTRIBUTABLE TO CHARTER</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6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149,208,188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161,501,355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183,669,369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02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151,966,313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164,433,596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193,042,948</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75" w:name="page76"/>
    <w:bookmarkEnd w:id="7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CHARTER COMMUNICATIONS, INC. AND SUBSIDIARIES CONSOLIDATED STATEMENTS OF CHANGES IN SHAREHOLDERS’ EQUITY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Pr>
          <w:p>
            <w:pPr>
              <w:spacing w:after="0"/>
              <w:rPr>
                <w:sz w:val="12"/>
                <w:szCs w:val="12"/>
                <w:color w:val="auto"/>
              </w:rPr>
            </w:pPr>
          </w:p>
        </w:tc>
        <w:tc>
          <w:tcPr>
            <w:tcW w:w="66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20" w:type="dxa"/>
            <w:vAlign w:val="bottom"/>
          </w:tcPr>
          <w:p>
            <w:pPr>
              <w:spacing w:after="0"/>
              <w:rPr>
                <w:sz w:val="12"/>
                <w:szCs w:val="12"/>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9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Total Charter</w:t>
            </w:r>
          </w:p>
        </w:tc>
        <w:tc>
          <w:tcPr>
            <w:tcW w:w="120" w:type="dxa"/>
            <w:vAlign w:val="bottom"/>
          </w:tcPr>
          <w:p>
            <w:pPr>
              <w:spacing w:after="0"/>
              <w:rPr>
                <w:sz w:val="12"/>
                <w:szCs w:val="12"/>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2"/>
                <w:szCs w:val="12"/>
                <w:color w:val="auto"/>
              </w:rPr>
            </w:pPr>
          </w:p>
        </w:tc>
        <w:tc>
          <w:tcPr>
            <w:tcW w:w="98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1"/>
                <w:szCs w:val="11"/>
                <w:color w:val="auto"/>
              </w:rPr>
            </w:pPr>
          </w:p>
        </w:tc>
        <w:tc>
          <w:tcPr>
            <w:tcW w:w="66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1"/>
                <w:szCs w:val="11"/>
                <w:color w:val="auto"/>
              </w:rPr>
            </w:pPr>
          </w:p>
        </w:tc>
        <w:tc>
          <w:tcPr>
            <w:tcW w:w="780" w:type="dxa"/>
            <w:vAlign w:val="bottom"/>
          </w:tcPr>
          <w:p>
            <w:pPr>
              <w:jc w:val="right"/>
              <w:ind w:right="169"/>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1"/>
        </w:trPr>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December 31,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30,281</w:t>
            </w:r>
          </w:p>
        </w:tc>
        <w:tc>
          <w:tcPr>
            <w:tcW w:w="0" w:type="dxa"/>
            <w:vAlign w:val="bottom"/>
          </w:tcPr>
          <w:p>
            <w:pPr>
              <w:spacing w:after="0"/>
              <w:rPr>
                <w:sz w:val="1"/>
                <w:szCs w:val="1"/>
                <w:color w:val="auto"/>
              </w:rPr>
            </w:pPr>
          </w:p>
        </w:tc>
      </w:tr>
      <w:tr>
        <w:trPr>
          <w:trHeight w:val="196"/>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Consolidated net income</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5,320</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96"/>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and retirement of treasury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(15,431)</w:t>
            </w:r>
          </w:p>
        </w:tc>
        <w:tc>
          <w:tcPr>
            <w:tcW w:w="0" w:type="dxa"/>
            <w:vAlign w:val="bottom"/>
          </w:tcPr>
          <w:p>
            <w:pPr>
              <w:spacing w:after="0"/>
              <w:rPr>
                <w:sz w:val="1"/>
                <w:szCs w:val="1"/>
                <w:color w:val="auto"/>
              </w:rPr>
            </w:pPr>
          </w:p>
        </w:tc>
      </w:tr>
      <w:tr>
        <w:trPr>
          <w:trHeight w:val="196"/>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0" w:type="dxa"/>
            <w:vAlign w:val="bottom"/>
          </w:tcPr>
          <w:p>
            <w:pPr>
              <w:spacing w:after="0"/>
              <w:rPr>
                <w:sz w:val="1"/>
                <w:szCs w:val="1"/>
                <w:color w:val="auto"/>
              </w:rPr>
            </w:pPr>
          </w:p>
        </w:tc>
      </w:tr>
      <w:tr>
        <w:trPr>
          <w:trHeight w:val="143"/>
        </w:trPr>
        <w:tc>
          <w:tcPr>
            <w:tcW w:w="41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Preferred unit conversion and change in noncontrolling interest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ownership, net of tax</w:t>
            </w: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December 31, 2021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26,725</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18,156</w:t>
            </w:r>
          </w:p>
        </w:tc>
        <w:tc>
          <w:tcPr>
            <w:tcW w:w="0" w:type="dxa"/>
            <w:vAlign w:val="bottom"/>
          </w:tcPr>
          <w:p>
            <w:pPr>
              <w:spacing w:after="0"/>
              <w:rPr>
                <w:sz w:val="1"/>
                <w:szCs w:val="1"/>
                <w:color w:val="auto"/>
              </w:rPr>
            </w:pPr>
          </w:p>
        </w:tc>
      </w:tr>
      <w:tr>
        <w:trPr>
          <w:trHeight w:val="196"/>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Consolidated net income</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96"/>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and retirement of treasury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(10,277)</w:t>
            </w:r>
          </w:p>
        </w:tc>
        <w:tc>
          <w:tcPr>
            <w:tcW w:w="0" w:type="dxa"/>
            <w:vAlign w:val="bottom"/>
          </w:tcPr>
          <w:p>
            <w:pPr>
              <w:spacing w:after="0"/>
              <w:rPr>
                <w:sz w:val="1"/>
                <w:szCs w:val="1"/>
                <w:color w:val="auto"/>
              </w:rPr>
            </w:pPr>
          </w:p>
        </w:tc>
      </w:tr>
      <w:tr>
        <w:trPr>
          <w:trHeight w:val="196"/>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noncontrolling interest ownership, net of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December 31, 2022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23,940</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(14,821)</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9,119</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12,549</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Consolidated net income</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5,261</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and retirement of treasury stock, including excise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noncontrolling interest ownership, net of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28"/>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December 31,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14,718</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61595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887" w:right="4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Consolidated net income</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5,320</w:t>
            </w: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flows from operating activities: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w:t>
            </w:r>
          </w:p>
        </w:tc>
      </w:tr>
      <w:tr>
        <w:trPr>
          <w:trHeight w:val="213"/>
        </w:trPr>
        <w:tc>
          <w:tcPr>
            <w:tcW w:w="6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19"/>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interest, net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6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r>
      <w:tr>
        <w:trPr>
          <w:trHeight w:val="219"/>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from acquisitions and dispositions: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6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9"/>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accrued liabilities and other</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07"/>
        </w:trPr>
        <w:tc>
          <w:tcPr>
            <w:tcW w:w="6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flows from operating activities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16,239</w:t>
            </w:r>
          </w:p>
        </w:tc>
      </w:tr>
      <w:tr>
        <w:trPr>
          <w:trHeight w:val="19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(11,115)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(7,635)</w:t>
            </w: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accrued expenses related to capital expenditures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2"/>
        </w:trPr>
        <w:tc>
          <w:tcPr>
            <w:tcW w:w="6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flows from investing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(11,127)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(7,754)</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20,976</w:t>
            </w: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(21,938)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(12,146)</w:t>
            </w: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(15,431)</w:t>
            </w: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noncontrolling interest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w:t>
            </w: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2"/>
        </w:trPr>
        <w:tc>
          <w:tcPr>
            <w:tcW w:w="6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flows from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(8,885)</w:t>
            </w:r>
          </w:p>
        </w:tc>
      </w:tr>
      <w:tr>
        <w:trPr>
          <w:trHeight w:val="20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r>
      <w:tr>
        <w:trPr>
          <w:trHeight w:val="20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18"/>
        </w:trPr>
        <w:tc>
          <w:tcPr>
            <w:tcW w:w="64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1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4,043</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5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Charter Communications, Inc. (together with its controlled subsidiaries, “Charter,” or the “Company”) is a leading broadband connectivity company and cable operator. Over an advanced communications network, the Company offers a full range of state-of-the-art residential and business services including Spectrum Internet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TV, Mobile and Voice. For small and medium-sized companies, Spectrum Business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the same suite of broadband products and services coupled with special features and applications to enhance productivity, while for larger businesses and government entities, Spectrum Enterprise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provides highly customized, fiber-based solutions. Spectrum Reach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tailored advertising and production for the modern media landscape. The Company also distributes award-winning news coverage and sports programming to its customers through Spectrum Networks.</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Charter is a holding company whose principal asset is a controlling equity interest in Charter Communications Holdings, LLC (“Charter Holdings”), an indirect owner of Charter Communications Operating, LLC (“Charter Operating”) under which substantially all of the operations reside.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and the rules and regulations of the Securities and Exchange Commission (the “SEC”).</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Areas involving significant judgments and estimates include capitalization of labor and overhead costs, pension benefits and income taxes. Actual results could differ from those estimates. Certain prior period amounts have been reclassified to conform with the 2023 presentation.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equaled net income attributable to Charter shareholders for the years ended December 31, 2023, 2022 and 2021.</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Information on other accounting policies and methods that the Company uses in the preparation of its consolidated financial statements are included, where applicable, in their respective footnotes. Below is a discussion of accounting policies and methods used in the Company's consolidated financial statements that are not presented within other footnotes.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Charter and all entities in which Charter has a controlling interest, including variable interest entities ("VIEs") where Charter is the primary beneficiary. The Company consolidates based upon evaluation of the Company’s power, through voting rights or similar rights, to direct the activities of another entity that most significantly impact the entity’s economic performance; its obligation to absorb the expected losses of the entity; and its right to receive the expected residual returns of the entity. Charter controls and consolidates Charter Holdings. The noncontrolling interest on the Company’s balance sheet primarily represents Advance/Newhouse Partnership's (“A/N”) minority equity interests in Charter Holdings. See Note 10. All significant intercompany accounts and transactions among consolidated entities have been eliminated in consolidation.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 These investments are carried at cost, which approximates market value.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the recoverability of long-lived assets (e.g., property, plant and equipment and finite-lived intangible assets) to be held and used when events or changes in circumstances indicate that the carrying amount of an asset may not be recoverable. Such events or changes in circumstances could include such factors as impairment of the Company’s indefinite life assets, changes in technological advances, fluctuations in the fair value of such assets, adverse changes in relationships with local franchise authorities, adverse changes in market conditions or a deterioration of current or expected future operating results. If a review indicates that the carrying value of such asset is not recoverable from estimated undiscounted cash flows, the carrying value of such asset is reduced to its estimated fair value. While the Company believes that its estimates of future cash flows are reasonable, different assumptions regarding such cash flows could materially affect its evaluations of asset recoverability. No impairments of long-lived assets held for use were recorded in 2023, 2022 and 2021. For non-strategic long-lived assets held for sale, the Company recorded impairments of approximately $36 million during the year ended December 31, 2021 to other operating (income) expense, net (see Note 14).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guidance establishes a three-level hierarchy for disclosure of fair value measurements, based on the transparency of inputs to the valuation of an asset or liability as of the measurement date, as follows:</w:t>
      </w:r>
    </w:p>
    <w:p>
      <w:pPr>
        <w:spacing w:after="0" w:line="189"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and inputs that are observable for the asset or liability, either directly or indirectly, for substantially the full term of the financial instrument.</w:t>
      </w: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its financial instruments using available market information or other appropriate valuation methodologies. Considerable judgment, however, is required in interpreting market data to develop the estimates of fair value. Accordingly, the estimates presented in the accompanying consolidated financial statements are not necessarily indicative of the amounts the Company would realize in a current market exchange.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equity method investments, franchises, property, plant, and equipment, and other intangible assets are not measured at fair value on a recurring basis; however, they are subject to fair value adjustments in certain circumstances, such as when there is evidence that an impairment may exist. When such impairments are recorded, fair values are generally classified within Level 3 of the valuation hierarchy.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receivables, payables and other current assets and liabilities approximate fair value because of the short maturity of those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government assistance during the years ending December 31, 2023 and 2022 primarily consists of federal subsidies from the Rural Development Opportunity Fund (“RDOF”) and state broadband grants primarily funded by the American Rescue Plan Act of 2021 (“ARPA”). The Company was awarded approximately $1.2 billion in federal subsidies in phase I of the RDOF auction to be received monthly over ten years to deploy and operate broadband services to unserved communities to more than one million estimated passings. For accounting purposes, RDOF subsidies are recorded as other revenue since the primary conditions for the receipt of the subsidies are the build out and operation of the broadband network over the ten years. During the years ended December 31, 2023 and 2022, other revenues included approximately $116 million and $107 million of RDOF subsidy revenue, respectively.</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also been awarded broadband grants to construct broadband infrastructure to unserved and underserved communities by various state and local governments. As of December 31, 2023, the Company has been publicly awarded approximately $913 million in state grants, of which only $597 million of these state grants have been formalized into executed agreements. State grants are either a fixed subsidy or variable with a subsidy cap conditioned upon construction. Cash is paid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either upon project completion, milestone completion, or in some instances a portion of grant is paid in advance. Prefunded grants are subject to recapture if buildouts are not completed. For accounting purposes state broadband grants are generally recorded as a reduction to property, plant and equipment as milestones are met, since the primary conditions for these grants are to build out the broadband network. During the years ended December 31, 2023 and 2022, the amount of state broadband grants recorded in the consolidated financial statements was not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associated with marketing the Company’s products and services are generally expensed as costs are incurred.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operations are managed and reported to its Chief Executive Officer (“CEO”), the Company’s chief operating decision maker, on a consolidated basis. The CEO assesses performance and allocates resources based on the consolidated results of operations. Under this organizational and reporting structure, the Company has one reportable segment.</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Additions to property, plant and equipment are recorded at cost, including all material, labor and certain indirect costs associated with the construction of cable transmission and distribution facilities. While the Company’s capitalization is based on specific activities, once capitalized, costs are tracked on a composite basis by fixed asset category at the cable system level and not on a specific asset basis. For assets that are sold or retired, the estimated historical cost and related accumulated depreciation is removed. Costs associated with the placement of the customer drop to the dwelling and the placement of outlets within a dwelling along with the costs associated with the deployment of new customer premise equipment necessary to provide video, Internet or voice services are capitalized. Costs capitalized include materials, direct labor and overhead costs. The Company capitalizes direct labor and overhead using standards developed from actual costs and applicable operational data. The Company calculates standards annually (or more frequently if circumstances dictate) for items such as the labor rates, overhead rates, and the actual amount of time required to perform a capitalizable activity. Overhead costs are associated with the activities of the Company’s personnel and consist of compensation and other indirect costs associated with support functions. Indirect costs primarily include employee benefits and payroll taxes, and vehicle and occupancy costs. The costs of disconnecting service and removing customer premise equipment from a dwelling and the costs to reconnect a customer drop or to redeploy previously installed customer premise equipment are charged to operating expense as incurred. Costs for repairs and maintenance are charged to operating expense as incurred, while plant and equipment replacement, including replacement of certain components, betterments, including replacement of cable drops and outlets, are capitalized.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recorded using the straight-line composite method over management’s estimate of the useful lives of the related assets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Cable distribution systems</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years</w:t>
            </w: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premise equipment and installations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years</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 and equipment</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 years</w:t>
            </w: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 years</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years</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the estimated useful lives used to depreciate its assets and the estimated amount of assets that will be abandoned or have minimal use in the future. A significant change in assumptions about the extent or timing of future asset retirements, or in the Company’s use of new technology and upgrade programs, could materially affect future depreciation expense. Depreciation expense for the years ended December 31, 2023, 2022 and 2021 was $7.6 billion, $7.6 billion, and $7.7 billion,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consists of the following as of December 31, 2023 and 2022:</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9"/>
        </w:trPr>
        <w:tc>
          <w:tcPr>
            <w:tcW w:w="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80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Cable distribution systems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39,759</w:t>
            </w:r>
          </w:p>
        </w:tc>
      </w:tr>
      <w:tr>
        <w:trPr>
          <w:trHeight w:val="230"/>
        </w:trPr>
        <w:tc>
          <w:tcPr>
            <w:tcW w:w="6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premise equipment and installations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w:t>
            </w:r>
          </w:p>
        </w:tc>
      </w:tr>
      <w:tr>
        <w:trPr>
          <w:trHeight w:val="229"/>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 and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29"/>
        </w:trPr>
        <w:tc>
          <w:tcPr>
            <w:tcW w:w="6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r>
      <w:tr>
        <w:trPr>
          <w:trHeight w:val="230"/>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3"/>
        </w:trPr>
        <w:tc>
          <w:tcPr>
            <w:tcW w:w="6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72,203</w:t>
            </w:r>
          </w:p>
        </w:tc>
      </w:tr>
      <w:tr>
        <w:trPr>
          <w:trHeight w:val="230"/>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(36,164)</w:t>
            </w:r>
          </w:p>
        </w:tc>
      </w:tr>
      <w:tr>
        <w:trPr>
          <w:trHeight w:val="223"/>
        </w:trPr>
        <w:tc>
          <w:tcPr>
            <w:tcW w:w="6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36,039</w:t>
            </w:r>
          </w:p>
        </w:tc>
      </w:tr>
      <w:tr>
        <w:trPr>
          <w:trHeight w:val="21"/>
        </w:trPr>
        <w:tc>
          <w:tcPr>
            <w:tcW w:w="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Company’s franchise agreements and leases contain provisions requiring the Company to restore facilities or remove equipment in the event that the franchise or lease agreement is not renewed. The Company expects to continually renew its franchise agreements and therefore cannot reasonably estimate any liabilities associated with such agreements. A remote possibility exists that franchise agreements could be terminated unexpectedly, which could result in the Company incurring significant expense in complying with restoration or removal provisions. The Company does not have any significant liabilities related to asset retirements recorded in its consolidated financial statements.</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Franchises, 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rights represent the value attributed to agreements or authorizations with local and state authorities that allow access to homes in cable service areas. For valuation purposes, they are defined as the future economic benefits of the right to solicit and service potential customers (customer marketing rights), and the right to deploy and market new services to potential customers (service marketing rights).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estimates the fair value of franchise rights at the date of acquisition and determines if the franchise has a finite life or an indefinite life. The Company has concluded that all of its franchises qualify for indefinite life treatment given that there are no legal, regulatory, contractual, competitive, economic or other factors which limit the period over which these rights will contribute to the Company's cash flows. The Company reassesses this determination periodically or whenever events or substantive changes in circumstances occur.</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franchises are tested for impairment annually or more frequently as warranted by events or changes in circumstances. Franchise assets are aggregated into essentially inseparable units of accounting to conduct valuations. The franchise units of accounting are geographical clustering of cable systems representing the highest and best use groupings if sold to market participants. The Company assesses qualitative factors to determine whether the existence of events or circumstances leads to a determination that it is more likely than not that an indefinite lived intangible asset has been impaired. If, after this optional qualitative assessment, the Company determines that it is not more likely than not that an indefinite lived intangible asset has been impaired, then no further quantitative testing is necessary. In completing the qualitative impairment testing, the Company evaluates a multitude of factors that affect the fair value of its franchise assets. Examples of such factors include environmental and competitive changes within the Company's operating footprint, actual and projected operating performance, the consistency of its operating margins, equity and debt market trends, including changes in its market capitalization, and changes in its regulatory and political landscape, among other factors. The Company performed a qualitative assessment in 2023. After consideration of the qualitative factors in 2023, the Company concluded that it is more likely than not that the fair value of the franchise assets in each unit of accounting exceeds the carrying value of such assets and therefore did not perform a quantitative analysis at the assessment date. Periodically, the Company may elect to perform a quantitative analysis for impairment testing. If the Company elects or is required to perform a quantitative analysis to test its franchise assets for impairment, the estimated fair value of franchises is determined utilizing an income approach model based on the present value of the estimated discrete future cash flows attributable to each of the intangible assets identified assuming a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determined that it has one reporting unit for purposes of the assessment of goodwill impairment. Goodwill is tested for impairment as of November 30 of each year</w:t>
      </w:r>
      <w:r>
        <w:rPr>
          <w:rFonts w:ascii="Times New Roman" w:cs="Times New Roman" w:eastAsia="Times New Roman" w:hAnsi="Times New Roman"/>
          <w:sz w:val="18"/>
          <w:szCs w:val="18"/>
          <w:color w:val="000080"/>
        </w:rPr>
        <w:t>,</w:t>
      </w:r>
      <w:r>
        <w:rPr>
          <w:rFonts w:ascii="Times New Roman" w:cs="Times New Roman" w:eastAsia="Times New Roman" w:hAnsi="Times New Roman"/>
          <w:sz w:val="18"/>
          <w:szCs w:val="18"/>
          <w:color w:val="auto"/>
        </w:rPr>
        <w:t xml:space="preserve"> or more frequently as warranted by events or changes in circumstances. Accounting guidance also permits an optional qualitative assessment for goodwill to determine whether it is more likely than not that the carrying value of a reporting unit exceeds its fair value. If, after this qualitative assessment, the Company determines that it is not more likely than not that the fair value of a reporting unit is less than its carrying amount then no further quantitative testing would be necessary. A quantitative assessment is performed if the qualitative assessment results in a more likely than 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As with the Company’s franchise impairment testing, in 2023 the Company elected to perform a qualitative goodwill impairment assessment, which incorporated consideration of the same qualitative factors relevant to the Company's franchise impairment testing. As a result of that assessment, the Company concluded that goodwill is not impaired.</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relationships are recorded at fair value as of the date acquired less accumulated amortization. Customer relationships are amortized on an accelerated sum of years’ digits method over useful lives of 8-15 years based on the period over which current customers are expected to generate cash flows. The Company periodically evaluates the remaining useful lives of its customer relationships to determine whether events or circumstances warrant revision to the remaining periods of amortization. Customer relationships are evaluated for impairment upon the occurrence of events or changes in circumstances indicating that the carrying amount of an asset may not be recoverable. Customer relationships are deemed impaired when the carrying value exceeds the projected undiscounted future cash flows associated with the customer relationships. No impairment of customer relationships was recorded in the years ended December 31, 2023, 2022 or 2021.</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owns approximately $464 million of Citizens Broadband Radio Service ("CBRS") priority access licenses. The wireless spectrum licenses are considered indefinite life intangible assets recorded in other noncurrent assets on the Company's consolidated balance sheets and payments (including deposits) are presented as an investing cash outflow on the Company’s statements of cash flows. The Company elected to perform a qualitative impairment assessment in 2023 and concluded that its CBRS priority access licenses are not impaired.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indefinite-lived and finite-lived intangible assets are presented in the following table:</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3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57"/>
        </w:trPr>
        <w:tc>
          <w:tcPr>
            <w:tcW w:w="3240" w:type="dxa"/>
            <w:vAlign w:val="bottom"/>
          </w:tcPr>
          <w:p>
            <w:pPr>
              <w:spacing w:after="0"/>
              <w:rPr>
                <w:sz w:val="13"/>
                <w:szCs w:val="13"/>
                <w:color w:val="auto"/>
              </w:rPr>
            </w:pPr>
          </w:p>
        </w:tc>
        <w:tc>
          <w:tcPr>
            <w:tcW w:w="13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06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20" w:type="dxa"/>
            <w:vAlign w:val="bottom"/>
          </w:tcPr>
          <w:p>
            <w:pPr>
              <w:spacing w:after="0"/>
              <w:rPr>
                <w:sz w:val="13"/>
                <w:szCs w:val="13"/>
                <w:color w:val="auto"/>
              </w:rPr>
            </w:pPr>
          </w:p>
        </w:tc>
        <w:tc>
          <w:tcPr>
            <w:tcW w:w="13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080" w:type="dxa"/>
            <w:vAlign w:val="bottom"/>
          </w:tcPr>
          <w:p>
            <w:pPr>
              <w:jc w:val="right"/>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2"/>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7"/>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19"/>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Franchises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67,363</w:t>
            </w:r>
          </w:p>
        </w:tc>
      </w:tr>
      <w:tr>
        <w:trPr>
          <w:trHeight w:val="213"/>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29,563</w:t>
            </w:r>
          </w:p>
        </w:tc>
      </w:tr>
      <w:tr>
        <w:trPr>
          <w:trHeight w:val="219"/>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Wireless spectrum licenses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13"/>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Trademarks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35"/>
        </w:trPr>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97,549</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r>
      <w:tr>
        <w:trPr>
          <w:trHeight w:val="216"/>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10"/>
        </w:trPr>
        <w:tc>
          <w:tcPr>
            <w:tcW w:w="32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(16,801)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2,976</w:t>
            </w:r>
          </w:p>
        </w:tc>
      </w:tr>
      <w:tr>
        <w:trPr>
          <w:trHeight w:val="23"/>
        </w:trPr>
        <w:tc>
          <w:tcPr>
            <w:tcW w:w="3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customer relationships and other intangible assets for the years ended December 31, 2023, 2022 and 2021 was $1.1 billion, $1.3 billion and $1.6 billion,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102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CHARTER COMMUNICATIONS, INC. AND SUBSIDIARIES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10260" w:type="dxa"/>
            <w:vAlign w:val="bottom"/>
          </w:tcPr>
          <w:p>
            <w:pPr>
              <w:jc w:val="center"/>
              <w:ind w:left="8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102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December 31, 2023, 2022 AND 2021</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8"/>
        </w:trPr>
        <w:tc>
          <w:tcPr>
            <w:tcW w:w="102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(dollars in millions, except share or per share data or where indicated)</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580"/>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The Company expects amortization expense on its finite-lived intangible assets will be as follows.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10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30"/>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29"/>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9"/>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10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10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0"/>
        </w:trPr>
        <w:tc>
          <w:tcPr>
            <w:tcW w:w="10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amortization expense in future periods could differ from these estimates as a result of new intangible asset acquisitions or divestitures, changes in useful lives, impairments, adoption of new accounting standards and other relevant factors.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Investments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Investments are accounted for under the equity method of accounting or as equity securities, all of which are recorded in other noncurrent assets in the consolidated balance sheets as of December 31, 2023 and 2022. The Company applies the equity method to investments when it has the ability to exercise significant influence over the operating and financial policies of the investee. The Company’s share of the investee’s earnings (losses) is included in other expense, net in the consolidated statements of operations. The Company monitors its investments for indicators that a decrease in investment value has occurred that is other-than-temporary. If it has been determined that an investment has sustained an other-than-temporary decline in value, the investment is written down to fair value with a charge to earnings. Investments acquired are measured at fair value utilizing the acquisition method of accounting. The difference between the fair value and the amount of underlying equity in net assets for most equity method investments is due to unrecognized intangible assets at the investee. These amounts are amortized as a component of equity earnings (losses), recorded within other income (expense), net over the estimated useful life of the asset.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consisted of the following as of December 31, 2023 and 2022:</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00"/>
        </w:trPr>
        <w:tc>
          <w:tcPr>
            <w:tcW w:w="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80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0"/>
        </w:trPr>
        <w:tc>
          <w:tcPr>
            <w:tcW w:w="60" w:type="dxa"/>
            <w:vAlign w:val="bottom"/>
          </w:tcPr>
          <w:p>
            <w:pPr>
              <w:spacing w:after="0"/>
              <w:rPr>
                <w:sz w:val="19"/>
                <w:szCs w:val="19"/>
                <w:color w:val="auto"/>
              </w:rPr>
            </w:pPr>
          </w:p>
        </w:tc>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8"/>
        </w:trPr>
        <w:tc>
          <w:tcPr>
            <w:tcW w:w="60" w:type="dxa"/>
            <w:vAlign w:val="bottom"/>
          </w:tcPr>
          <w:p>
            <w:pPr>
              <w:spacing w:after="0"/>
              <w:rPr>
                <w:sz w:val="21"/>
                <w:szCs w:val="21"/>
                <w:color w:val="auto"/>
              </w:rPr>
            </w:pPr>
          </w:p>
        </w:tc>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0"/>
        </w:trPr>
        <w:tc>
          <w:tcPr>
            <w:tcW w:w="60" w:type="dxa"/>
            <w:vAlign w:val="bottom"/>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method investments primarily includes the Company's 50/50 joint venture with Comcast Corporation ("Comcast") in Xumo Services, LLC ("Xumo"), a next generation streaming platform and was approximately $548 million and $849 million as of December 31, 2023 and 2022,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equity method investments balances reflected in the table above includes differences between the acquisition date fair value of certain investments acquired and the underlying equity in the net assets of the investee, referred to as a basis difference. This basis difference is amortized as a component of equity earnings. The remaining unamortized basis difference was $340 million and $432 million as of December 31, 2023 and 2022, respectively.</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net losses from investments were $343 million, $100 million and $176 million, respectively, which were recorded in other income (expense), net in the consolidated statements of operations. Loss on equity investments, net for year ended December 31, 2023 is primarily related to our joint venture in Xumo.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Accounts Payable, Accrued and Other 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accrued and other current liabilities consist of the following as of December 31, 2023 and 2022:</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r>
      <w:tr>
        <w:trPr>
          <w:trHeight w:val="223"/>
        </w:trPr>
        <w:tc>
          <w:tcPr>
            <w:tcW w:w="8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Programming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and regulatory fees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23"/>
        </w:trPr>
        <w:tc>
          <w:tcPr>
            <w:tcW w:w="83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10,555</w:t>
            </w:r>
          </w:p>
        </w:tc>
      </w:tr>
      <w:tr>
        <w:trPr>
          <w:trHeight w:val="21"/>
        </w:trPr>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Leases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leased asset classes of the Company include real estate, dark fiber, colocation facilities and other equipment. The lease agreements include both lease and non-lease components, which the Company accounts for separately depending on the election made for each leased asset class. For real estate and dark fiber leased asset classes, the Company accounts for lease and non-lease components as a single lease component and includes all fixed payments in the measurement of lease liabilities and lease assets. For colocation facilities leased asset class, the Company accounts for lease and non-lease components separately including only the fixed lease payment component in the measurement of lease liabilities and lease assets.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assets and lease liabilities are initially recognized based on the present value of the future lease payments over the expected lease term. As for most leases the implicit rate is not readily determinable, the Company uses a discount rate in determining the present value of future payments based on the yield-to-maturity of the Company’s secured publicly traded United States dollars denominated debt instruments interpolating the duration of the debt to the term of the executed lease.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leases have base rent periods and some with optional renewal periods. Leases with base rent periods of less than 12 months are not recorded on the balance sheet. For purposes of measurement of lease liabilities, the expected lease terms may include renewal options when it is reasonably certain that the Company will exercise such options.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expenses were $506 million, $482 million and $463 million for the years ended December 31, 2023, 2022 and 2021, respectively, inclusive of both short-term lease costs and variable lease costs that were not included in the measurement of operating lease liabilities.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recorded as operating cash flows in the statements of cash flows, were $369 million, $345 million and $327 million for the years ended December 31, 2023, 2022 and 2021, respectively. Operating lease right-of-use assets obtained in exchange for operating lease obligations were $335 million, $221 million and $368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8"/>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64"/>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6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Included within other noncurrent assets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1,270</w:t>
            </w:r>
          </w:p>
        </w:tc>
        <w:tc>
          <w:tcPr>
            <w:tcW w:w="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1,235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94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Current portion included within accounts payable, accrued and other current liabilities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290</w:t>
            </w:r>
          </w:p>
        </w:tc>
        <w:tc>
          <w:tcPr>
            <w:tcW w:w="3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9"/>
                <w:szCs w:val="19"/>
                <w:color w:val="auto"/>
              </w:rPr>
            </w:pPr>
          </w:p>
        </w:tc>
        <w:tc>
          <w:tcPr>
            <w:tcW w:w="118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0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portion included within other long-term liabilities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1,128</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1,083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1,418</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8"/>
                <w:szCs w:val="18"/>
                <w:color w:val="auto"/>
              </w:rPr>
              <w:t>1,378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color w:val="auto"/>
                <w:w w:val="98"/>
              </w:rPr>
              <w:t>5.4 years</w:t>
            </w: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 years</w:t>
            </w:r>
          </w:p>
        </w:tc>
        <w:tc>
          <w:tcPr>
            <w:tcW w:w="0" w:type="dxa"/>
            <w:vAlign w:val="bottom"/>
          </w:tcPr>
          <w:p>
            <w:pPr>
              <w:spacing w:after="0"/>
              <w:rPr>
                <w:sz w:val="1"/>
                <w:szCs w:val="1"/>
                <w:color w:val="auto"/>
              </w:rPr>
            </w:pPr>
          </w:p>
        </w:tc>
      </w:tr>
      <w:tr>
        <w:trPr>
          <w:trHeight w:val="229"/>
        </w:trPr>
        <w:tc>
          <w:tcPr>
            <w:tcW w:w="38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554"/>
        </w:trPr>
        <w:tc>
          <w:tcPr>
            <w:tcW w:w="5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2023 are as follows.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gridSpan w:val="3"/>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6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Undiscounted lease cash flow commitments</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Reconciling impact from discounting</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83"/>
        </w:trPr>
        <w:tc>
          <w:tcPr>
            <w:tcW w:w="578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on consolidated balance sheet as of December 31, 2023</w:t>
            </w: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6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summary of our debt as of December 31, 2023 and 2022 is as follows: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Interest</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1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Interest</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96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unsecured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27,250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27,168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24,750</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26,650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26,567</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22,426</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notes and debentures</w:t>
            </w:r>
            <w:r>
              <w:rPr>
                <w:rFonts w:ascii="Times New Roman" w:cs="Times New Roman" w:eastAsia="Times New Roman" w:hAnsi="Times New Roman"/>
                <w:sz w:val="9"/>
                <w:szCs w:val="9"/>
                <w:color w:val="auto"/>
              </w:rPr>
              <w:t>(a)</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58,250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50,742</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56,841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57,213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46,905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facilities</w:t>
            </w:r>
            <w:r>
              <w:rPr>
                <w:rFonts w:ascii="Times New Roman" w:cs="Times New Roman" w:eastAsia="Times New Roman" w:hAnsi="Times New Roman"/>
                <w:sz w:val="9"/>
                <w:szCs w:val="9"/>
                <w:color w:val="auto"/>
              </w:rPr>
              <w:t>(b)</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12,359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13,877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13,823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13,467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97,588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97,777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87,729</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97,368</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97,603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82,798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340" w:hanging="332"/>
        <w:spacing w:after="0" w:line="239" w:lineRule="auto"/>
        <w:tabs>
          <w:tab w:leader="none" w:pos="335"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Company's £625 million aggregate principal amount of fixed-rate British pound sterling denominated notes (the “Sterling Notes”) (remeasured at $797 million and $755 million as of December 31, 2023 and 2022, respectively, using the exchange rate at the respective dates) and the Company's £650 million aggregate principal amount of Sterling Notes (remeasured at $828 million and $786 million as of December 31, 2023 and 2022, respectively, using the exchange rate at the respective dates).</w:t>
      </w:r>
    </w:p>
    <w:p>
      <w:pPr>
        <w:ind w:left="320" w:hanging="312"/>
        <w:spacing w:after="0" w:line="196" w:lineRule="auto"/>
        <w:tabs>
          <w:tab w:leader="none" w:pos="32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had availability under the Charter Operating credit facilities of approximately $5.2 billion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senior unsecured and secured notes and debentures as of December 31, 2023 and 2022 is based on quoted market prices in active markets and is classified within Level 1 of the valuation hierarchy, while the estimated fair value of the Company’s credit facilities is based on quoted market prices in inactive markets and is classified within Level 2.</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CCO Holdings, LLC ("CCO Holdings") and CCO Holdings Capital Corp. jointly issued $1.1 billion aggregate principal amount of senior unsecured notes and Charter Operating and Charter Communications Operating Capital Corp. jointly issued $2.0 billion aggregate principal amount of senior secured notes. The notes were issued at varying rates, prices and maturity dates and the net proceeds were used to pay related fees and expenses and for general corporate purposes, including funding buybacks of Charter Class A common stock and Charter Holdings common units as well as repaying certain indebtedness.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repurchased $1.5 billion, $3.0 billion and $5.1 billion, respectively, of various series of senior notes. Losses on extinguishment of debt are recorded in other income (expense), net in the consolidated statements of operations and were $3 million, $3 million and $144 million during the years ended December 31, 2023, 2022 and 2021,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and February 2024, Charter Operating and Charter Communications Operating Capital Corp. redeemed all of their outstanding senior secured floating rate notes due 2024 and paid in full all of their outstanding 4.500% senior secured notes due 2024 at maturity.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CCO Holdings Notes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CCO Holdings notes are senior debt obligations of CCO Holdings and CCO Holdings Capital Corp. and rank equally with all other current and future unsecured, unsubordinated obligations of CCO Holdings and CCO Holdings Capital Corp. They are structurally subordinated to all obligations of subsidiaries of CCO Holdings.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CCO Holdings may redeem some or all of the CCO Holdings notes at any time at a premium. The optional redemption price declines to 100% of the respective series’ principal amount, plus accrued and unpaid interest, if any, on or after varying dates in 2024 through 2031.</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at any time prior to varying dates in 2024 through 2026, CCO Holdings may redeem up to 40% of the aggregate principal amount of certain notes at a premium plus accrued and unpaid interest to the redemption date, with the net cash proceeds of one or more equity offerings (as defined in the indenture); provided that certain conditions are met. In the event of specified change of control events, CCO Holdings must offer to purchase the outstanding CCO Holdings notes from the holders at a purchase price equal to 101% of the total principal amount of the notes, plus any accrued and unpaid interest.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governing the CCO Holdings notes contain certain covenants that restrict the ability of CCO Holdings, CCO Holdings Capital Corp. and all of their restricted subsidiaries to:</w:t>
      </w:r>
    </w:p>
    <w:p>
      <w:pPr>
        <w:spacing w:after="0" w:line="189"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equity or repurchase equity;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their assets or merge with or into other companies;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restricted subsidiaries, create or permit to exist dividend or payment restrictions with respect to CCO Holdings, guarantee their parent companies debt, or issue specified equity interests;</w:t>
      </w:r>
    </w:p>
    <w:p>
      <w:pPr>
        <w:ind w:left="320" w:hanging="312"/>
        <w:spacing w:after="0" w:line="236"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(with respect to only CCO Holdings).</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limitations in certain circumstances regarding incurrence of debt, payment of dividends and making investments contained in the indentures of CCO Holdings permit CCO Holdings and its restricted subsidiaries to perform the above, so long as, after giving pro forma effect to the above, the leverage ratio would be below a specified level for the issuer. The maximum total leverage ratio under the indentures is 6.0 to 1.0. The leverage ratio was 4.2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Charter Operating Notes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notes are guaranteed by CCO Holdings and substantially all of the subsidiaries of Charter Operating. In addition, the Charter Operating notes are secured by a perfected first priority security interest in substantially all of the assets of Charter Operating and substantially all of its subsidiaries to the extent such liens can be perfected under the Uniform Commercial Code by the filing of a financing statement and the liens rank equally with the liens on the collateral securing obligations under the Charter Operating credit facilities. Charter Operating may redeem some or all of the Charter Operating notes at any time at a premium.</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notes are subject to the terms and conditions of the indentures governing the Charter Operating notes. The Charter Operating notes indentures contain customary representations and warranties and affirmative covenants with customary negative covenants, including restrictions on the ability of Charter Operating or any of its material subsidiaries to incur liens securing indebtedness for borrowed money and on the ability of Charter Operating to consolidate, merge or convey or transfer substantially all of their assets. The Charter Operating indentures also contain customary events of default.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Charter Operating Credit Facilities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Charter Operating entered into amendments to its credit agreement to (i) replace London Interbank Offering Rate (“LIBOR”) as the benchmark rate applicable to the credit facilities with Secured Overnight Financing Rate (“SOFR”), (ii) incur a new Term B-3 Loan and a new Term B-4 Loan; and</w:t>
      </w:r>
    </w:p>
    <w:p>
      <w:pPr>
        <w:ind w:firstLine="8"/>
        <w:spacing w:after="0" w:line="260" w:lineRule="auto"/>
        <w:tabs>
          <w:tab w:leader="none" w:pos="3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cancel certain of Charter Operating's existing Term B-1 Loan (upon assignment to Charter Operating and conversion into Term B-4 Loan) and Term B-2 Loan (upon assignment to Charter Operating), among other amendments.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Operating credit facilities have an outstanding principal amount of $12.4 billion at December 31, 2023 as follows:</w:t>
      </w:r>
    </w:p>
    <w:p>
      <w:pPr>
        <w:spacing w:after="0" w:line="252" w:lineRule="exact"/>
        <w:rPr>
          <w:sz w:val="20"/>
          <w:szCs w:val="20"/>
          <w:color w:val="auto"/>
        </w:rPr>
      </w:pPr>
    </w:p>
    <w:p>
      <w:pPr>
        <w:ind w:left="340" w:right="160" w:hanging="332"/>
        <w:spacing w:after="0" w:line="261" w:lineRule="auto"/>
        <w:tabs>
          <w:tab w:leader="none" w:pos="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A-5 Loan with a remaining principal amount of approximately $5.6 billion, which is repayable in quarterly installments and aggregating $303 million in each loan year, with the remaining balance due at final maturity on August 31, 2027. Pricing on Term A-5 Loan is SOFR plus 1.25%;</w:t>
      </w:r>
    </w:p>
    <w:p>
      <w:pPr>
        <w:ind w:left="340" w:right="180" w:hanging="332"/>
        <w:spacing w:after="0" w:line="250" w:lineRule="auto"/>
        <w:tabs>
          <w:tab w:leader="none" w:pos="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A-6 Loan with a remaining principal amount of approximately $463 million, which is repayable in quarterly installments and aggregating $25 million in each loan year, with the remaining balance due at final maturity on August 31, 2028. Pricing on Term A-6 Loan is SOFR plus 1.50%;</w:t>
      </w:r>
    </w:p>
    <w:p>
      <w:pPr>
        <w:ind w:left="340" w:right="180" w:hanging="332"/>
        <w:spacing w:after="0" w:line="250" w:lineRule="auto"/>
        <w:tabs>
          <w:tab w:leader="none" w:pos="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B-1 Loan with a remaining principal amount of approximately $316 million, which is repayable in equal quarterly installments and aggregating $3 million in 2024, with the remaining balance due at final maturity on April 30, 2025. Pricing on Term B-1 Loan is SOFR plus 1.75%;</w:t>
      </w:r>
    </w:p>
    <w:p>
      <w:pPr>
        <w:jc w:val="both"/>
        <w:ind w:left="340" w:right="180" w:hanging="332"/>
        <w:spacing w:after="0" w:line="265" w:lineRule="auto"/>
        <w:tabs>
          <w:tab w:leader="none" w:pos="3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 B-2 Loan with a remaining principal amount of approximately $3.1 billion, which is repayable in equal quarterly installments and aggregating $32 million in each loan year, with the remaining balance due at final maturity on February 1, 2027. Pricing on Term B-2 Loan is SOFR plus 1.75%;</w:t>
      </w:r>
    </w:p>
    <w:p>
      <w:pPr>
        <w:jc w:val="both"/>
        <w:ind w:left="340" w:right="160" w:hanging="332"/>
        <w:spacing w:after="0" w:line="250" w:lineRule="auto"/>
        <w:tabs>
          <w:tab w:leader="none" w:pos="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B-3 Loan with a remaining principal amount of approximately $744 million, which is repayable in equal quarterly installments and aggregating $8 million in each loan year, with the remaining balance due at final maturity on March 31, 2030. Pricing on Term B-3 Loan is SOFR plus 2.25%;</w:t>
      </w:r>
    </w:p>
    <w:p>
      <w:pPr>
        <w:spacing w:after="0" w:line="1" w:lineRule="exact"/>
        <w:rPr>
          <w:rFonts w:ascii="Times New Roman" w:cs="Times New Roman" w:eastAsia="Times New Roman" w:hAnsi="Times New Roman"/>
          <w:sz w:val="18"/>
          <w:szCs w:val="18"/>
          <w:color w:val="auto"/>
        </w:rPr>
      </w:pPr>
    </w:p>
    <w:p>
      <w:pPr>
        <w:jc w:val="both"/>
        <w:ind w:left="340" w:right="180" w:hanging="332"/>
        <w:spacing w:after="0" w:line="250" w:lineRule="auto"/>
        <w:tabs>
          <w:tab w:leader="none" w:pos="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B-4 Loan with a remaining principal amount of approximately $2.0 billion, which is repayable in equal quarterly installments and aggregating $20 million in each loan year, with the remaining balance due at final maturity on December 7, 2030. Pricing on Term B-4 Loan is SOFR plus 2.00%;</w:t>
      </w:r>
    </w:p>
    <w:p>
      <w:pPr>
        <w:spacing w:after="0" w:line="1" w:lineRule="exact"/>
        <w:rPr>
          <w:rFonts w:ascii="Times New Roman" w:cs="Times New Roman" w:eastAsia="Times New Roman" w:hAnsi="Times New Roman"/>
          <w:sz w:val="18"/>
          <w:szCs w:val="18"/>
          <w:color w:val="auto"/>
        </w:rPr>
      </w:pPr>
    </w:p>
    <w:p>
      <w:pPr>
        <w:jc w:val="both"/>
        <w:ind w:left="340" w:right="160" w:hanging="332"/>
        <w:spacing w:after="0" w:line="253" w:lineRule="auto"/>
        <w:tabs>
          <w:tab w:leader="none" w:pos="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with an outstanding balance of $216 million and allowing for borrowings of up to $5.5 billion maturing on August 31, 2027. Pricing on the revolving loan is SOFR plus 1.25% with a commitment fee based on Charter's corporate family rating and not to exceed 0.20%. As of December 31, 2023, $36 million of the revolving loan was utilized to collateralize a like principal amount of letters of credit out of $530 million of letters of credit issued on the Company’s behalf.</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outstanding under the Charter Operating credit facilities bear interest, at Charter Operating’s election, at a base rate, SOFR, as defined, plus an applicable margin. SOFR was 5.4% and 4.4% as of December 31, 2023 and 2022,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Charter Operating credit facilities also allow us to enter into incremental term loans in the future, with amortization as set forth in the notices establishing such term loans. Although the Charter Operating credit facilities allow for the incurrence of a certain amount of incremental term loans subject to pro forma compliance with its financial maintenance covenants, no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assurance can be given that the Company could obtain additional incremental term loans in the future if Charter Operating sought to do so or what amount of incremental term loans would be allowable at any given time under the terms of the Charter Operating credit facilities.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obligations of Charter Operating under the Charter Operating credit facilities are guaranteed by CCO Holdings and substantially all of the subsidiaries of Charter Operating. The obligations are also secured by (i) a lien on substantially all of the assets of Charter Operating and substantially all of its subsidiaries, to the extent such lien can be perfected under the Uniform Commercial Code by the filing of a financing statement, and (ii) a pledge of the equity interests directly or indirectly owned by Charter Operating in substantially all of its subsidiaries, as well as intercompany obligations owing to it and the guarantor subsidiaries by any of their affiliates.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credit facilities contain representations and warranties, and customary affirmative and negative covenants, including restrictions on the ability of Charter Operating or any of its subsidiaries to incur liens securing indebtedness for borrowed money and on the ability of Charter Operating to consolidate, merge or convey or transfer substantially all of its assets. The financial covenants measure performance against standards set for leverage to be tested as of the end of each quarter. The Charter Operating credit facilities also contain customary events of default and the right to cure with respect to any defaults or events of default.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Warner Cable, LLC Notes and Debentures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Time Warner Cable, LLC ("TWC, LLC") senior notes and debentures are guaranteed by CCO Holdings, Charter Operating and substantially all of the subsidiaries of Charter Operating (other than TWC, LLC) and rank equally with the liens on the collateral securing obligations under the Charter Operating notes and credit facilities. Interest on each series of TWC, LLC senior notes and debentures is payable semi-annually (with the exception of the Sterling Notes, which is payable annually) in arrears.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TWC, LLC indentures contain customary covenants relating to restrictions on the ability of TWC, LLC or any of its material subsidiaries to incur liens securing indebtedness for borrowed money and on the ability of TWC, LLC and Time Warner Cable Enterprises LLC ("TWCE") to consolidate, merge or convey or transfer substantially all of their assets. The TWC, LLC indentures also contain customary events of default.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TWC, LLC senior notes and debentures may be redeemed in whole or in part at any time at TWC, LLC’s option at a redemption price equal to the greater of (i) all of the applicable principal amount being redeemed and (ii) the sum of the present values of the remaining scheduled payments on the applicable TWC, LLC senior notes and debentures discounted to the redemption date on a semi-annual basis (with the exception of the Sterling Notes, which are on an annual basis), at a comparable government bond rate plus a designated number of basis points as further described in the indenture and the applicable note or debenture, plus, in each case, accrued but unpaid interest to, but not including, the redemption date.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offer to redeem all, but not less than all, of the Sterling Notes in the event of certain changes in the tax laws of the U.S. (or any taxing authority in the U.S.). This redemption would be at a redemption price equal to 100% of the principal amount, together with accrued and unpaid interest on the Sterling Notes to, but not including, the redemption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TWCE Debentures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TWCE senior debentures are guaranteed by CCO Holdings, Charter Operating, and substantially all of the subsidiaries of Charter Operating (other than TWCE) and rank equally with the liens on the collateral securing obligations under the Charter Operating notes and credit facilities. Interest on each series of TWCE senior debentures is payable semi-annually in arrears. The TWCE senior debentures are not redeemable before maturity.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TWCE indentures contain customary covenants relating to restrictions on the ability of TWC, LLC, TWCE or any of its subsidiaries to incur liens securing indebtedness for borrowed money and on the ability of TWC, LLC and TWCE to consolidate, merge or convey or transfer substantially all of their assets. The TWCE indentures also contain customary events of default.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Distributions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Distributions by the Company’s subsidiaries to a parent company for payment of principal on parent company notes are restricted under the CCO Holdings indentures discussed above, unless there is no default under the applicable indenture, and unless CCO Holdings’ leverage ratio test is met at the time of such distribution. As of December 31, 2023, there was no default under any of these indentures and CCO Holdings met its applicable leverage ratio tests based on December 31, 2023 financial results. There can be no assurance that CCO Holdings will satisfy these tests at the time of the contemplated distribution.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limitation on distributions under the various indentures, distributions by the Company’s subsidiaries may be limited by applicable law, including the Delaware Limited Liability Company Act, under which the Company’s subsidiaries may make distributions if they have “surplus” as defined in the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Future Principal and Interest Payments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have significant amounts of debt, and its business requires significant cash to fund principal and interest payments on its debt, capital expenditures and ongoing operations. As set forth below, the Company has significant future principal and interest payments. The Company continues to monitor the capital markets, and it expects to undertake refinancing transactions and utilize free cash flow and cash on hand to further extend or reduce the maturities of its principal obligations. The timing and terms of any refinancing transactions will be subject to market conditions.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payments on variable debt are estimated using amounts outstanding at December 31, 2023 and the average implied forward SOFR rates applicable for the quarter during the interest rate reset based on the yield curve in effect at December 31, 2023. Actual interest payments will differ based on actual SOFR rates and actual amounts outstanding for applicable periods. Based upon outstanding indebtedness as of December 31, 2023, the amortization of term loans, and the maturity dates for all senior and subordinated notes, total future principal and interest payments on the total borrowings under all debt agreements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0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23"/>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41,271</w:t>
            </w:r>
          </w:p>
        </w:tc>
      </w:tr>
      <w:tr>
        <w:trPr>
          <w:trHeight w:val="248"/>
        </w:trPr>
        <w:tc>
          <w:tcPr>
            <w:tcW w:w="8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Charter’s Class A common stock and Class B common stock are identical except with respect to certain voting, transfer and conversion rights. Holders of Class A common stock are entitled to one vote per share. Charter’s Class B common stock represents the share issued to A/N. One share of Charter’s Class B common stock has a number of votes reflecting the voting power of the Charter Holdings common units held by A/N as of the applicable record date on an as-exchanged basis, and is generally intended to reflect A/N’s economic interests in Charter Holdings.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shares outstanding for the three years ended December 31, 2023:</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5"/>
        </w:trPr>
        <w:tc>
          <w:tcPr>
            <w:tcW w:w="8060" w:type="dxa"/>
            <w:vAlign w:val="bottom"/>
          </w:tcPr>
          <w:p>
            <w:pPr>
              <w:spacing w:after="0"/>
              <w:rPr>
                <w:sz w:val="24"/>
                <w:szCs w:val="24"/>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Common</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Class B Common</w:t>
            </w:r>
          </w:p>
        </w:tc>
      </w:tr>
      <w:tr>
        <w:trPr>
          <w:trHeight w:val="241"/>
        </w:trPr>
        <w:tc>
          <w:tcPr>
            <w:tcW w:w="806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5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25"/>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193,730,992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1,568,488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 issuances, net of cancellations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 vesting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664,771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(23,227,642)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172,741,236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552,442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issuances, net of cancellations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 unit vesting</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591,647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(21,240,774)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152,651,396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563,297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 issuances, net of cancellations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 vesting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358,290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(8,358,134)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145,225,458</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represents the Company's purchase of Charter Class A common stock and the effect on the consolidated statements of cash flows during the years ended December 31, 2023, 2022 and 2021.</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3060" w:type="dxa"/>
            <w:vAlign w:val="bottom"/>
          </w:tcPr>
          <w:p>
            <w:pPr>
              <w:spacing w:after="0"/>
              <w:rPr>
                <w:sz w:val="19"/>
                <w:szCs w:val="19"/>
                <w:color w:val="auto"/>
              </w:rPr>
            </w:pPr>
          </w:p>
        </w:tc>
        <w:tc>
          <w:tcPr>
            <w:tcW w:w="17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20" w:type="dxa"/>
            <w:vAlign w:val="bottom"/>
            <w:tcBorders>
              <w:bottom w:val="single" w:sz="8" w:color="auto"/>
            </w:tcBorders>
          </w:tcPr>
          <w:p>
            <w:pPr>
              <w:spacing w:after="0"/>
              <w:rPr>
                <w:sz w:val="19"/>
                <w:szCs w:val="19"/>
                <w:color w:val="auto"/>
              </w:rPr>
            </w:pPr>
          </w:p>
        </w:tc>
      </w:tr>
      <w:tr>
        <w:trPr>
          <w:trHeight w:val="223"/>
        </w:trPr>
        <w:tc>
          <w:tcPr>
            <w:tcW w:w="3060" w:type="dxa"/>
            <w:vAlign w:val="bottom"/>
          </w:tcPr>
          <w:p>
            <w:pPr>
              <w:spacing w:after="0"/>
              <w:rPr>
                <w:sz w:val="19"/>
                <w:szCs w:val="19"/>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19"/>
                <w:szCs w:val="19"/>
                <w:color w:val="auto"/>
              </w:rPr>
            </w:pPr>
          </w:p>
        </w:tc>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19"/>
                <w:szCs w:val="19"/>
                <w:color w:val="auto"/>
              </w:rPr>
            </w:pPr>
          </w:p>
        </w:tc>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19"/>
                <w:szCs w:val="19"/>
                <w:color w:val="auto"/>
              </w:rPr>
            </w:pPr>
          </w:p>
        </w:tc>
        <w:tc>
          <w:tcPr>
            <w:tcW w:w="9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buybacks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7,879,962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20,628,464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22,015,125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w:t>
            </w: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withholding</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cost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8,358,134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21,240,774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23,227,642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15,431</w:t>
            </w:r>
          </w:p>
        </w:tc>
      </w:tr>
      <w:tr>
        <w:trPr>
          <w:trHeight w:val="20"/>
        </w:trPr>
        <w:tc>
          <w:tcPr>
            <w:tcW w:w="3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 buybacks above include shares of Charter Class A common stock purchased from Liberty Broadband Corporation (“Liberty Broadband”) pursuant to the LBB Letter Agreement as follows (see Note 19).</w:t>
      </w:r>
    </w:p>
    <w:p>
      <w:pPr>
        <w:spacing w:after="0" w:line="225"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19685</wp:posOffset>
            </wp:positionV>
            <wp:extent cx="21170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71">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 w:lineRule="exact"/>
        <w:rPr>
          <w:sz w:val="20"/>
          <w:szCs w:val="20"/>
          <w:color w:val="auto"/>
        </w:rPr>
      </w:pPr>
    </w:p>
    <w:p>
      <w:pPr>
        <w:ind w:left="8480"/>
        <w:spacing w:after="0"/>
        <w:tabs>
          <w:tab w:leader="none" w:pos="1018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purchased</w:t>
            </w:r>
          </w:p>
        </w:tc>
        <w:tc>
          <w:tcPr>
            <w:tcW w:w="5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950,721</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6,168,174</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shares purchased</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Charter had remaining board authority to purchase an additional $170 million of Charter’s Class A common stock and/or Charter Holdings common units, excluding purchases from Liberty Broadband. The Company also withholds shares of its Class A common stock in payment of income tax withholding owed by employees upon vesting of equity awards as well as exercise costs owed by employees upon exercise of stock options.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each fiscal year, Charter’s board of directors approves the retirement of the then currently outstanding treasury stock and those shares were retired as of December 31, 2023 and 2022. The Company accounts for treasury stock using the cost method and includes treasury stock as a component of total shareholders’ equity. Upon retirement, these treasury shares are allocated between additional paid-in capital and accumulated deficit based on the cost of original issue included in additional paid-in capital.</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Noncontrolling interests represents consolidated subsidiaries of which the Company owns less than 100%. The Company is a holding company whose principal asset is a controlling equity interest in Charter Holdings, the indirect owner of the Company’s cable systems. Noncontrolling interests on the Company’s balance sheet primarily includes A/N’s equity interests in Charter Holdings, which is comprised of a common ownership interest and prior to June 18, 2021, a convertible preferred ownership interest.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18, 2021, the Company caused the conversion of all of A/N's 25 million Charter Holdings convertible preferred units into Charter Holdings common units. Each preferred unit was converted into 0.37334 Charter Holdings common unit, representing a conversion price of $267.85 per unit, based on a conversion feature as defined in the Charter Holdings Limited Liability Company Agreement ("LLC Agreement"), resulting in the issuance of a total of 9.3 million common units to A/N. The convertible preferred units had a face amount of $2.5 billion and paid a 6% annual preferred dividend which was paid quarterly in cash. Net income of Charter Holdings attributable to A/N's preferred noncontrolling interest for financial reporting purposes was based on the preferred dividend which was $70 million for the year ended December 31, 2021.</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A/N held 17.1 million Charter Holdings common units which are exchangeable at any time into either Charter Class A common stock on a one-for-one basis, or, at Charter’s option, cash, based on the then current market price of Charter Class A common stock. Net income of Charter Holdings attributable to A/N’s common noncontrolling interest for financial reporting purposes is based on the weighted average effective common ownership interest of approximately 11% during 2023 and 2022, and 7% prior to the conversion of the preferred units and 11% after conversion during 2021, and was $702 million, $792 million and $594 million for the years ended December 31, 2023, 2022 and 2021, respectively. Charter Holdings is required to make quarterly cash tax distributions (with annual true-ups) on a pro rata basis to its partners based on the partner with the highest proportionate cash tax requirement. To the extent such tax distributions would exceed Charter’s cash tax requirements, it may waive its entitlement to tax distributions and, instead, issue a non-pro rata "advance" to A/N, which will accrue interest at a money market rate and will reduce A/N’s exchange value into cash or Charter Class A common stock. Charter Holdings distributed $156 million, $110 million and $4 million to A/N as a pro rata tax distribution on its common units during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Charter Holdings' purchase of Charter Holdings common units from A/N pursuant to the A/N Letter Agreement (see Note 19) and the effect on total shareholders' equity during the years ended December 31, 2023, 2022 and 2021.</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units purchased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3,171,681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3,274,391</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units purchased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noncontrolling interest based on carrying value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additional paid-in-capital, net of tax</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r>
    </w:tbl>
    <w:p>
      <w:pPr>
        <w:spacing w:after="0" w:line="3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shareholders' equity was also adjusted during the years ended December 31, 2023, 2022 and 2021 due to changes in Charter Holdings' ownership, including the impact of the preferred unit conversion discussed above, as follows.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noncontrolling interest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additional paid-in-capital, net of tax</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preferred unit conversion, the preferred noncontrolling interest carrying amount of $3.2 billion was reclassified to common noncontrolling interest and remeasured to $2.0 billion representing the relative effective Charter Holdings common ownership amount in all Charter Holdings partnership capital account balances resulting in a $1.2 billion reclass from noncontrolling interest to additional paid-in capital. A deferred tax liability of $300 million was recorded with the offset to additional paid-in capital as part of the Charter Holdings ownership change equity adjustments.</w:t>
      </w:r>
    </w:p>
    <w:p>
      <w:pPr>
        <w:spacing w:after="0" w:line="203" w:lineRule="exact"/>
        <w:rPr>
          <w:sz w:val="20"/>
          <w:szCs w:val="20"/>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Derivative Instruments and Hedging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Cross-currency derivative instruments are used to manage foreign exchange risk on the Sterling Notes by effectively converting £1.275 billion aggregate principal amount of fixed-rate British pound sterling denominated debt, including annual interest payments and the payment of principal at maturity, to fixed-rate U.S. dollar denominated debt. The cross-currency swaps have maturities of June 2031 and July 2042.</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derivative instruments are not designated as hedges and are marked to fair value each period, with the impact recorded as a gain or loss on financial instruments in the consolidated statements of operations in other income (expense), net. While these derivative instruments are not designated as hedges for accounting purposes, management continues to believe such instruments are closely correlated with the respective debt, thus managing associated risk. The fair value of the Company's cross-currency derivatives, which are classified within Level 2 of the valuation hierarchy, was $440 million and $570 million and is included in other long-term liabilities on its consolidated balance sheets as of December 31, 2023 and 2022,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financial instruments are recorded in other income (expense), net in the consolidated statements of operations and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cross-currency derivative instruments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remeasurement of Sterling Notes to U.S. dollars</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Revenues</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9"/>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revenues by product line are as follows:</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99"/>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64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21,094</w:t>
            </w:r>
          </w:p>
        </w:tc>
      </w:tr>
      <w:tr>
        <w:trPr>
          <w:trHeight w:val="229"/>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Video</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17,630</w:t>
            </w: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Voice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29"/>
        </w:trPr>
        <w:tc>
          <w:tcPr>
            <w:tcW w:w="40" w:type="dxa"/>
            <w:vAlign w:val="bottom"/>
          </w:tcPr>
          <w:p>
            <w:pPr>
              <w:spacing w:after="0"/>
              <w:rPr>
                <w:sz w:val="19"/>
                <w:szCs w:val="19"/>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Mobile service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23"/>
        </w:trPr>
        <w:tc>
          <w:tcPr>
            <w:tcW w:w="40" w:type="dxa"/>
            <w:vAlign w:val="bottom"/>
          </w:tcPr>
          <w:p>
            <w:pPr>
              <w:spacing w:after="0"/>
              <w:rPr>
                <w:sz w:val="19"/>
                <w:szCs w:val="19"/>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revenue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41,561</w:t>
            </w:r>
          </w:p>
        </w:tc>
      </w:tr>
      <w:tr>
        <w:trPr>
          <w:trHeight w:val="54"/>
        </w:trPr>
        <w:tc>
          <w:tcPr>
            <w:tcW w:w="40" w:type="dxa"/>
            <w:vAlign w:val="bottom"/>
          </w:tcPr>
          <w:p>
            <w:pPr>
              <w:spacing w:after="0"/>
              <w:rPr>
                <w:sz w:val="4"/>
                <w:szCs w:val="4"/>
                <w:color w:val="auto"/>
              </w:rPr>
            </w:pPr>
          </w:p>
        </w:tc>
        <w:tc>
          <w:tcPr>
            <w:tcW w:w="6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and medium business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r>
      <w:tr>
        <w:trPr>
          <w:trHeight w:val="229"/>
        </w:trPr>
        <w:tc>
          <w:tcPr>
            <w:tcW w:w="40" w:type="dxa"/>
            <w:vAlign w:val="bottom"/>
          </w:tcPr>
          <w:p>
            <w:pPr>
              <w:spacing w:after="0"/>
              <w:rPr>
                <w:sz w:val="19"/>
                <w:szCs w:val="19"/>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Enterprise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23"/>
        </w:trPr>
        <w:tc>
          <w:tcPr>
            <w:tcW w:w="40" w:type="dxa"/>
            <w:vAlign w:val="bottom"/>
          </w:tcPr>
          <w:p>
            <w:pPr>
              <w:spacing w:after="0"/>
              <w:rPr>
                <w:sz w:val="19"/>
                <w:szCs w:val="19"/>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revenue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r>
      <w:tr>
        <w:trPr>
          <w:trHeight w:val="54"/>
        </w:trPr>
        <w:tc>
          <w:tcPr>
            <w:tcW w:w="40" w:type="dxa"/>
            <w:vAlign w:val="bottom"/>
          </w:tcPr>
          <w:p>
            <w:pPr>
              <w:spacing w:after="0"/>
              <w:rPr>
                <w:sz w:val="4"/>
                <w:szCs w:val="4"/>
                <w:color w:val="auto"/>
              </w:rPr>
            </w:pPr>
          </w:p>
        </w:tc>
        <w:tc>
          <w:tcPr>
            <w:tcW w:w="6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sales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29"/>
        </w:trPr>
        <w:tc>
          <w:tcPr>
            <w:tcW w:w="40" w:type="dxa"/>
            <w:vAlign w:val="bottom"/>
          </w:tcPr>
          <w:p>
            <w:pPr>
              <w:spacing w:after="0"/>
              <w:rPr>
                <w:sz w:val="19"/>
                <w:szCs w:val="19"/>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r>
      <w:tr>
        <w:trPr>
          <w:trHeight w:val="248"/>
        </w:trPr>
        <w:tc>
          <w:tcPr>
            <w:tcW w:w="4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54,607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51,682</w:t>
            </w: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Services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Residential customers are offered Internet, video, voice and mobile services primarily on a subscription basis. Mobile services are sold under unlimited data plans or by-the-gig data usage plans. The Company often provides multiple services to a customer. The transaction price for a bundle of services may be less than the sum of the standalone selling prices of each individual service. The Company allocates the bundle discount among the services to which the discount relates based on the relative standalone selling prices of those services. Generally, directly observable standalone selling prices are used for the revenue allocation. Customers are invoiced for subscription services in advance of the service period. Each subscription service provided is accounted for as a distinct performance obligation and revenue is recognized ratably over the monthly service period as the subscription services are delivered. Residential customers may generally cancel their subscriptions at the end of their monthly service period without penalty. Each optional service purchased is generally accounted for as a distinct performance obligation when purchased and revenue is recognized when the service is provided. For customer premise equipment ("CPE") where such CPE would qualify as a lease, the Company combines the operating lease with the subscription service revenue as a single performance obligation as the subscription service is the predominant component. Installation fees are deferred over the period the fee remains material to the customer, which the Company has estimated to be approximately six months. Sales commission costs are expensed as incurred as the amortization period is less than one year. Right-of-entry costs represent upfront costs incurred related to agreements entered into with multiple dwelling units (“MDUs”) including landlords, real estate companies or owners to gain access to a building in order to market and service customers who reside in the building. Right-of-entry costs are deferred as contract fulfillment costs and recognized over the term of the contracts.</w:t>
      </w: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Customers can purchase mobile equipment, including devices and accessory products, and have the option to pay for devices under interest-free monthly installment plans. The Company does not impute interest on equipment installment plans sold through its direct channel as the inherent financing component is not considered significant based on the commercial objective of the plans, interest rates prevailing in the marketplace and credit risks of the Company's customers. The sale of equipment is a separate performance obligation, therefore, revenue is recognized from the sale of equipment upon delivery and acceptance by the customer.</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Fees imposed on the Company by various governmental authorities are passed through on a monthly basis to the Company’s customers and are periodically remitted to authorities. Fees of $993 million for the year ended December 31, 2023 and $1.1 billion for each of the years ended December 31, 2022 and 2021 are reported in revenues on a gross basis with a corresponding operating expense because the Company is acting as a principal. Certain taxes, such as sales taxes imposed on the Company’s customers, collected and remitted to state and local authorities, are recorded on a net basis because the Company is acting as an agent in such situations.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Services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Small and medium business ("SMB") customers are offered Internet, video, voice and mobile services similar to those provided to residential customers. SMB customers may generally cancel their subscriptions at the end of their monthly service period without penalty. Each subscription service provided is accounted for as a distinct performance obligation and revenue is recognized ratably over the monthly service period as the subscription services are delivered.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Services to enterprise clients include more tailored communications products and managed service solutions to larger businesses, as well as high-capacity last-mile data connectivity services to mobile and wireline carriers on a wholesale basis. Services are primarily offered on a subscription basis with a contractually specified and non-cancelable service period, which is generally one to seven years with a weighted average term of approximately three years. Each subscription service provided is accounted for as a distinct performance obligation and revenue is recognized ratably over the contract period as the subscription services are delivered. Enterprise subscription services are billed as monthly recurring charges to customers and related installation services, if applicable, are billed upon completion of the customer installation. Installation services are not accounted for as distinct performance obligations, but rather a component of the connectivity services, and therefore upfront installation fees are deferred and recognized as revenue over the related contract period. Enterprise sales commission costs are deferred and recognized using a portfolio approach over a weighted-average contract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Services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offers local, regional and national businesses the opportunity to advertise in individual and multiple service areas on cable television networks and digital outlets. Placement of advertising is accounted for as a distinct performance obligation and revenue is recognized at the point in time when the advertising is distributed. In some service areas, the Company has formed advertising interconnects or entered into representation agreements with other video distributors, under which the Company sells advertising on behalf of those distributors. In other service areas, the Company has entered into representation agreements under which another operator in the area will sell advertising on the Company’s behalf. For representation arrangements in which the Company controls the sale of advertising and acts as the principal to the transaction, the Company recognizes revenue earned from the advertising customer on a gross basis and the amount remitted to the distributor as an operating expense. For other representation arrangements in which the Company does not control the sale of advertising and acts as an agent to the transaction, the Company recognizes revenue net of any fee remitted to the distributor.</w:t>
      </w:r>
    </w:p>
    <w:p>
      <w:pPr>
        <w:spacing w:after="0" w:line="21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Other balances that are not separately presented on the consolidated balance sheets that relate to the recognition of revenue and collection of the related cash, as well as the deferred costs associated with our contracts with customers consist of the following for the periods presented: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r>
      <w:tr>
        <w:trPr>
          <w:trHeight w:val="223"/>
        </w:trPr>
        <w:tc>
          <w:tcPr>
            <w:tcW w:w="83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0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Equipment installment plan receivables, net</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Equipment installment plan receivables, net</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acquisition and fulfillment costs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payables, accrued and other current liabilities: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prepayments and upfront deferred installation fees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doubtful accounts is summarized as follows for the years presented: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expense</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6"/>
              </w:rPr>
              <w:t>758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484</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Uncollected balances written off, net of recoveries</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(544)</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6"/>
              </w:rPr>
              <w:t>219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6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Costs and Expenses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costs and expenses, exclusive of items shown separately in the consolidated statements of operations, consist of the following for the periods presented: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costs of revenue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service customers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r>
      <w:tr>
        <w:trPr>
          <w:trHeight w:val="223"/>
        </w:trPr>
        <w:tc>
          <w:tcPr>
            <w:tcW w:w="642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33,405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31,482</w:t>
            </w:r>
          </w:p>
        </w:tc>
      </w:tr>
      <w:tr>
        <w:trPr>
          <w:trHeight w:val="20"/>
        </w:trPr>
        <w:tc>
          <w:tcPr>
            <w:tcW w:w="6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Programming costs consist primarily of costs paid to programmers for basic, premium, video on demand and pay-per-view programming. Other costs of revenue include costs directly related to providing Internet, video, voice and mobile services including mobile device costs, payments to franchise and regulatory authorities, payments for sports, local and news content produced by the Company and direct costs associated with selling advertising. Also included in other costs of revenue are content acquisition costs for the Los Angeles Lakers’ basketball games and Los Angeles Dodgers’ baseball games, which are recorded as games are exhibited over the contract period. Costs to service customers include costs related to field operations, network operations and customer operations for the Company’s products, including mobile, sold to non-bulk residential and SMB customers including internal and third-party labor for the non-capitalizable portion of installations, service and repairs, maintenance, bad debt expense, billing and collection, occupancy and vehicle costs. Sales and marketing costs represent the costs of selling and marketing our Internet, video, voice and mobile services to current and potential non-bulk residential and SMB customers, including labor cost. Other expense includes indirect costs associated with the Company’s Spectrum Enterprise, Spectrum Reach, Spectrum Networks and Spectrum Community Solutions businesses, including sales and marketing and bad debt expenses as well as corporate overhead and stock compensation expense, among others.</w:t>
      </w:r>
    </w:p>
    <w:p>
      <w:pPr>
        <w:spacing w:after="0" w:line="215"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Operating (Income) Expense,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(income) expense, net consist of the following for the years presented:</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40" w:type="dxa"/>
            <w:vAlign w:val="bottom"/>
            <w:tcBorders>
              <w:bottom w:val="single" w:sz="8" w:color="auto"/>
            </w:tcBorders>
          </w:tcPr>
          <w:p>
            <w:pPr>
              <w:spacing w:after="0"/>
              <w:rPr>
                <w:sz w:val="20"/>
                <w:szCs w:val="20"/>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charges, net</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8"/>
        </w:trPr>
        <w:tc>
          <w:tcPr>
            <w:tcW w:w="5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charges, net</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Special charges, net primarily includes net amounts of litigation settlements and employee termination costs. For the year ended December 31, 2022, special charges, net also includes an impairment on non-strategic assets and is offset by a gain related to the settlement of a multiemployer pension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disposal of assets, net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Gain (loss) on disposal of assets, net includes a $262 million gain on sale of towers during the year ended December 31, 2023 and a $36 million impairment of non-strategic assets held for sale during the year ended December 31,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 Other Income (Expense), Net</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 consist of the following for the periods presented:</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99"/>
        </w:trPr>
        <w:tc>
          <w:tcPr>
            <w:tcW w:w="63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r>
      <w:tr>
        <w:trPr>
          <w:trHeight w:val="223"/>
        </w:trPr>
        <w:tc>
          <w:tcPr>
            <w:tcW w:w="63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(see Note 8)</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 (see Note 11)</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benefits (costs), net (see Note 21)</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equity investments, net (see Note 5)</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48"/>
        </w:trPr>
        <w:tc>
          <w:tcPr>
            <w:tcW w:w="6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Charter’s stock incentive plan provides for grants of nonqualified stock options, incentive stock options, stock appreciation rights, dividend equivalent rights, performance units and performance shares, share awards, phantom stock, restricted stock units and restricted stock. Directors, officers and other employees of the Company and its subsidiaries, as well as others performing consulting services for the Company, are eligible for grants under the stock incentive plan. The stock incentive plan allows for the issuance of up to 16 million shares of Charter Class A common stock (or units convertible into Charter Class A common stock).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Restricted stock, restricted stock units, stock options as well as equity awards with market conditions are measured at the grant date fair value and amortized to stock compensation expense over the requisite service period. The fair value of stock options is estimated on the date of grant using the Black-Scholes option-pricing model and the fair value of equity awards with market conditions is estimated on the date of grant using Monte Carlo simulations. The grant date weighted average assumptions used during the years ended December 31, 2023, 2022 and 2021 were: risk-free interest rate of 3.7%, 1.7% and 0.7%, respectively; expected lives of 4.8 years, 5.7 years and 5.9 years, respectively; and expected volatility of 31%, 28% and 27%, respectively. The Company’s volatility assumptions represent management’s best estimate and were based on a review of historical and implied volatility. Expected lives were estimated using historical exercise data. The valuations assume no dividends are paid. The Company has elected an accounting policy to assume zero forfeitures for stock awards grants and account for forfeitures when they occur.</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and restricted stock units generally cliff vest three years from the date of grant. Certain stock options and restricted stock units vest based on achievement of stock price hurdles. Stock options generally expire ten years from the grant date and restricted stock units have no voting rights. Restricted stock generally vests one year from the date of grant.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total unrecognized compensation remaining to be recognized in future periods totaled $390 million for stock options, $1 million for restricted stock and $440 million for restricted stock units and the weighted average period over which they are expected to be recognized is 3 years for stock options, 4 months for restricted stock and 2 years for restricted stock units. The Company recorded $692 million, $470 million and $430 million of stock compensation expense for the years ended December 31, 2023, 2022 and 2021, respectively, which is included in operating costs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activity for Charter’s stock options for the years ended December 31, 2023, 2022 and 2021, is as follows (shares in thousands, except per share data):</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11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3"/>
                <w:szCs w:val="13"/>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4"/>
                <w:szCs w:val="14"/>
                <w:color w:val="auto"/>
              </w:rPr>
            </w:pPr>
          </w:p>
        </w:tc>
        <w:tc>
          <w:tcPr>
            <w:tcW w:w="1120" w:type="dxa"/>
            <w:vAlign w:val="bottom"/>
            <w:gridSpan w:val="3"/>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6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4"/>
                <w:szCs w:val="14"/>
                <w:color w:val="auto"/>
              </w:rPr>
            </w:pPr>
          </w:p>
        </w:tc>
        <w:tc>
          <w:tcPr>
            <w:tcW w:w="8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2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beginning of period</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396.89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362.26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312.95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384.50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577.64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629.57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228.69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295.51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295.46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213"/>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Canceled</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486.77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570.44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476.90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end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398.51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396.89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362.26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 average remaining</w:t>
            </w:r>
          </w:p>
        </w:tc>
        <w:tc>
          <w:tcPr>
            <w:tcW w:w="1880" w:type="dxa"/>
            <w:vAlign w:val="bottom"/>
            <w:gridSpan w:val="5"/>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5 years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gridSpan w:val="5"/>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6 years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gridSpan w:val="5"/>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6 years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life</w:t>
            </w:r>
          </w:p>
        </w:tc>
        <w:tc>
          <w:tcPr>
            <w:tcW w:w="1880" w:type="dxa"/>
            <w:vAlign w:val="bottom"/>
            <w:gridSpan w:val="5"/>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5"/>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5"/>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Options exercisable, end of</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60" w:type="dxa"/>
            <w:vAlign w:val="bottom"/>
            <w:vMerge w:val="continue"/>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6,051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325.80</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5,320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266.78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237.45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72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Options expected to vest, end of</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6,607</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465.11</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gridSpan w:val="2"/>
            <w:vMerge w:val="continue"/>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Weighted average fair value of</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60" w:type="dxa"/>
            <w:vAlign w:val="bottom"/>
            <w:vMerge w:val="continue"/>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126.13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172.24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171.21</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granted</w:t>
            </w: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activity for Charter’s restricted stock for the years ended December 31, 2023, 2022 and 2021, is as follows (shares in thousands, except per share data):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21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beginning of period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654.33</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504.53</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654.33</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504.53</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end of period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activity for Charter’s restricted stock units for the years ended December 31, 2023, 2022 and 2021, is as follows (shares in thousands, except per share data):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21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beginning of period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449.03</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337.82</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629.47</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269.88</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440.14</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569.11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467.26</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end of period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temporary differences between the financial reporting basis and the tax basis of the Company’s assets and liabilities and expected benefits of utilizing loss carryforwards. Valuation allowances are established when management determines that it is more likely than not that some portion or the entire deferred tax asset will not be realized. In evaluating the need for a valuation allowance, management takes into account various factors, including the expected level of future taxable income, available tax planning strategies and reversals of existing taxable temporary differences. The impact on deferred taxes of changes in tax rates and tax law, if any, applied to the years during which temporary differences are expected to be settled, are reflected in the consolidated financial statements in the period of enactment. In determining the Company’s tax provision for financial reporting purposes, the Company establishes a reserve for uncertain tax positions unless such positions are determined to be “more likely than not” of being sustained upon examination, based on their technical merits. There is considerable judgment involved in making such a determination. The Company recognizes interest and penalties accrued on uncertain income tax positions as part of the income tax provision.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the Company’s operations are held through Charter Holdings and its direct and indirect subsidiaries. Charter Holdings and the majority of its subsidiaries are generally limited liability companies that are not subject to income tax. However, certain of these limited liability companies are subject to state income tax. In addition, the subsidiaries that are corporations are subject to income tax. Generally, the taxable income, gains, losses, deductions and credits of Charter Holdings are passed through to its members, Charter and A/N. Charter is responsible for its share of taxable income or loss of Charter Holdings allocated to it in accordance with the LLC Agreement and partnership tax rules and regulations. As a result, Charter's primary deferred tax component recorded in the consolidated balance sheets relates to its excess financial reporting outside basis, excluding amounts attributable to nondeductible goodwill, over Charter's tax basis in the investment in Charter Holdings.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Charter Holdings, the indirect owner of the Company’s cable systems, generally allocates its taxable income, gains, losses, deductions and credits proportionately according to the members’ respective ownership interests, except for special allocations required under Section 704(c) of the Internal Revenue Code and the Treasury Regulations (“Section 704(c)”). Pursuant to Section 704(c) and the LLC Agreement, each item of income, gain, loss and deduction with respect to any property contributed to the capital of the partnership shall, solely for tax purposes, be allocated among the members so as to take into account any variation between the adjusted basis of such property to the partnership for U.S. federal income tax purposes and its initial gross asset value using the “traditional method” as described in the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recorded income tax expense as shown below. The tax provision in future periods will vary based on current and future temporary differences, as well as future operating results.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expense: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63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 income taxes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 income taxes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129"/>
        </w:trPr>
        <w:tc>
          <w:tcPr>
            <w:tcW w:w="6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benefit (expense):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 income taxes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effective tax rate differs from that derived by applying the applicable federal income tax rate of 21% for the years ended December 31, 2023, 2022 and 2021 as follows: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state income taxes, net</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stock compensation</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 changes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(1,593)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0"/>
        </w:trPr>
        <w:tc>
          <w:tcPr>
            <w:tcW w:w="6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(Liabilities)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tax effects of these temporary differences that give rise to significant portions of the deferred tax assets and deferred tax liabilities at December 31, 2023 and 2022 are presented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Carryforwards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Accrued and 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128"/>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and 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deferred tax liabilities on the investment in partnership above includes approximately $55 million and $54 million net deferred tax liabilities relating to certain indirect subsidiaries that file separate state income tax returns at December 31,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Carryforwards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Charter has federal tax net operating loss carryforwards that expire in 2035 resulting from the operations of Charter Communications Holdings Company, LLC ("Charter Holdco") and its subsidiaries and from loss carryforwards received as a result of the merger with Time Warner Cable Inc. ("TWC"). In addition, Charter has state tax net operating loss carryforwards that generally expire in the years 2024 through 2042. Charter's federal tax loss carryforwards are subject to Section 382 and other restrictions. Also included in carryforwards is Charter's Section 163(j) interest limitation, which is based on interest expense that is not deductible in the current year due to taxable income limitations. The limited interest carryforward has an indefinite carryforward period and will become deductible when Charter generates taxable income sufficient to overcome the limitation.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LLC Agreement, A/N has the right to exchange at any time some or all of its common units in Charter Holdings for Charter’s Class A common stock or cash, at Charter’s option. Pursuant to a Tax Receivable Agreement ("TRA") between Charter and A/N, Charter must pay to A/N 50% of the tax benefit when realized by Charter from the step-up in tax basis resulting from any future exchange or sale of the common units. Charter did not record a liability for this obligation as of the acquisition date since the tax benefit is dependent on uncertain future events that are outside of Charter’s control, such as the timing of a conversion or exchange. A future exchange or sale is not based on a fixed and determinable date and the exchange or sale is not certain to occur. If all of A/N's partnership units were to be exchanged or sold in the future, the undiscounted value of the obligation is currently estimated to be in the range of zero to $3.5 billion depending on measurement of the tax step-up in the future and Charter’s ability to realize the tax benefit in the periods following the exchange or sale. Factors impacting these calculations include, but are not limited to, the fair value of the equity at the time of the exchange and the effective tax rates when the benefits are realized.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amount of the unrecognized tax benefits recorded as of December 31, 2023 that could impact the effective tax rate is $538 million. These uncertain tax positions, if ever recognized in the financial statements, would be recorded in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statements of operations as part of the income tax provision. A reconciliation of the beginning and ending amount of unrecognized tax benefits, exclusive of interest and penalties, is as follows: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Activity on prior year tax positions</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9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on current year tax positions</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Reductions on settlements with taxing authorities and expirations</w:t>
            </w: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9"/>
        </w:trPr>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Activity on prior year tax positions</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9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on current year tax positions</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Reductions on settlements with taxing authorities and expirations</w:t>
            </w: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8"/>
        </w:trPr>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Charter is currently under examination by the Internal Revenue Service ("IRS") for income tax purposes for 2016, 2019, 2020 and 2021. Charter's 2022 tax year remains open for examination and assessment. Charter’s 2017 and 2018 tax years remain open solely for purposes of loss and credit carryforwards. Charter’s short period return dated May 17, 2016 (prior to the merger with TWC and acquisition of Bright House Networks, LLC) and prior years remain open solely for purposes of examination of Charter’s loss and credit carryforwards. The IRS is currently examining Charter Holdings’ income tax returns for 2016, 2019, 2020 and 2021. Charter Holdings’ 2022 tax year remains open for examination and assessment, while 2017 and 2018 remain open solely for purposes of credit carryforwards. The IRS is currently examining TWC’s income tax returns for 2011, 2012 and 2015, while 2013 and 2014 have moved to Appeals. The Company does not anticipate that these examinations will have a material impact on its consolidated financial position or results of operations. In addition, the Company is also subject to ongoing examinations of our tax returns by state and local tax authorities for various periods. Activity related to these state and local examinations did not have a material impact on the Company's consolidated financial position or results of operations during the year ended December 31, 2023, nor does the Company anticipate a material impact in the future.</w:t>
      </w: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attributable to Charter shareholders by the weighted average number of shares of common stock outstanding during the period. Diluted earnings per common share considers the impact of potentially dilutive securities using the treasury stock and if-converted methods and is based on the weighted average number of shares used for the basic earnings per share calculation, adjusted for the dilutive effect of stock options, restricted stock, restricted stock units, equity awards with market conditions and Charter Holdings common units. Charter Holdings common units of 18 million, 20 million and 19 million for the years ended December 31, 2023, 2022 and 2021,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were not included in the computation of diluted earnings per share as their effect would have been antidilutive. The following is the computation of diluted earnings per common share for the years presented.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7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Charter Holdings convertible preferred units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Charter shareholders after assumed conversions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149,208,188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161,501,355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183,669,369</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 exercise or issuance of shares relating to stock plans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2,758,125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2,932,241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5,052,041</w:t>
            </w: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Charter Holdings convertible preferred units</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4,321,538</w:t>
            </w:r>
          </w:p>
        </w:tc>
        <w:tc>
          <w:tcPr>
            <w:tcW w:w="0" w:type="dxa"/>
            <w:vAlign w:val="bottom"/>
          </w:tcPr>
          <w:p>
            <w:pPr>
              <w:spacing w:after="0"/>
              <w:rPr>
                <w:sz w:val="1"/>
                <w:szCs w:val="1"/>
                <w:color w:val="auto"/>
              </w:rPr>
            </w:pP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151,966,313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164,433,596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193,042,948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7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 attributable to Charter shareholders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0" w:type="dxa"/>
            <w:vAlign w:val="bottom"/>
          </w:tcPr>
          <w:p>
            <w:pPr>
              <w:spacing w:after="0"/>
              <w:rPr>
                <w:sz w:val="1"/>
                <w:szCs w:val="1"/>
                <w:color w:val="auto"/>
              </w:rPr>
            </w:pP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attributable to Charter shareholders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transactions in which the Company and a director, executive officer, or other related party of the Company are involved or, in the case of the management arrangements, subsidiaries that are debt issuers that pay certain of their parent companies for services.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Charter is a party to management arrangements with its subsidiary, Spectrum Management Holding Company, LLC ("Spectrum Management"), and certain of their subsidiaries. Under these agreements, Charter, Spectrum Management and Charter Holdco provide management services for the cable systems owned or operated by their subsidiaries. Costs associated with providing these services are charged directly to the Company’s operating subsidiaries. All other costs incurred on behalf of Charter’s operating subsidiaries are considered a part of the management fee. These costs are recorded as a component of operating costs and expenses, in the accompanying consolidated financial statements. The management fee charged to the Company’s operating subsidiaries approximated the expenses incurred by Spectrum Management, Charter Holdco and Charter on behalf of the Company’s operating subsidiaries in 2023, 2022 and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and A/N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Amended and Restated Stockholders Agreement among Charter, Liberty Broadband and A/N, dated as of May 23, 2015 (as amended, the “Stockholders Agreement”), the number of Charter’s directors is fixed at 13. Two designees selected by A/N are members of the board of directors of Charter and three designees selected by Liberty Broadband are members of Charter's Board of Directors. The remaining eight directors are not designated by either A/N or Liberty Broadband. Each of A/N and Liberty Broadband is entitled to nominate at least one director to each of the committees of Charter’s Board of Directors, subject to applicable stock exchange listing rules and certain specified voting or equity ownership thresholds for each of A/N and Liberty Broadband, and provided that the Nominating and Corporate Governance Committee and the Compensation and Benefit Committee each have at least a majority of directors independent from A/N, Liberty Broadband and Charter (referred to as the “unaffiliated directors”). Each of the Nominating and Corporate Governance Committee and the Compensation and Benefits Committee is currently comprised of three unaffiliated directors and one designee of each of A/N and Liberty Broadband. A/N and Liberty Broadband also have certain other committee designation and governance rights. Pursuant to the terms of Mr. Thomas Rutledge’s employment agreement, Mr. Rutledge stepped down from his position as the Executive Chairman of the Company and the Board of Directors at the end of his employment term on November 30, 2023, but continues to serve as a director emeritus. In conjunction with Mr. Rutledge’s retirement from the Board of Directors, Mr.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Winfrey was appointed to the Board of Directors effective November 30, 2023 to fill the vacancy resulting from Mr. Rutledge’s resignation.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Eric Zinterhofer was appointed as Non-Executive Chairman of the Board of Directors effective November 30, 2023 upon the retirement of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Rutledge as Executive Chairman.</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2016, Charter and A/N entered into a letter agreement, as amended in December 2017 (the “A/N Letter Agreement”) that requires A/N to sell to Charter or to Charter Holdings, on a monthly basis, a number of shares of Charter Class A common stock or Charter Holdings common units that represents a pro rata participation by A/N and its affiliates in any repurchases of shares of Charter Class A common stock from persons other than A/N effected by Charter during the immediately preceding calendar month, at a purchase price equal to the average price paid by Charter for the shares repurchased from persons other than A/N during such immediately preceding calendar month. A/N and Charter both have the right to terminate or suspend the pro rata repurchase arrangement on a prospective basis. Pursuant to the TRA between Charter and A/N, Charter must pay to A/N 50% of the tax benefit when realized by Charter from the step-up in tax basis resulting from any future exchange or sale of the common units. See Note 17 for more information.</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2021, Charter and Liberty Broadband entered into a letter agreement (the “LBB Letter Agreement”). The LBB Letter Agreement implements Liberty Broadband’s obligations under the Stockholders Agreement to participate in share repurchases by Charter. Under the LBB Letter Agreement, Liberty Broadband will sell to Charter, generally on a monthly basis, a number of shares of Charter Class A common stock representing an amount sufficient for Liberty Broadband’s ownership of Charter to be reduced such that it does not exceed the ownership cap then applicable to Liberty Broadband under the Stockholders Agreement at a purchase price per share equal to the volume weighted average price per share paid by Charter for shares repurchased during such immediately preceding calendar month other than (i) purchases from A/N, (ii) purchases in privately negotiated transactions or (iii) purchases for the withholding of shares of Charter Class A common stock pursuant to equity compensation programs of Charter.</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Gregory Maffei, a director of Charter and President and CEO and director and holder of an 8.4% voting interest in Liberty Broadband, is Chairman of the board of directors of Qurate Retail, Inc. ("Qurate") and Dr. John Malone, a director emeritus of Charter, Chairman of the board of directors of Liberty Broadband and holder of a 48.9% voting interest in Liberty Broadband, also serves on the Qurate board of directors. As reported in SEC filings of Qurate, Mr. Maffei and Dr. Malone, Mr. Maffei has ownership of an approximate 20.1% voting interest in Qurate and Dr. Malone has ownership of an approximate 6.6% voting interest in Qurate. Qurate wholly owns HSN, Inc. (“HSN”) and QVC, Inc. (“QVC”). The Company has programming relationships with HSN and QVC. For the years ended December 31, 2023, 2022 and 2021, the Company recorded revenue in aggregate of approximately $47 million, $43 million and $48 million, respectively, from HSN and QVC as part of channel carriage fees and revenue sharing arrangements for home shopping sales made to customers in the Company’s footprint.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agreements with certain equity investees (see Note 5) pursuant to which the Company has made or received related party transaction payments for the receipt of goods or services. The Company recorded payments to equity investees totaling $180 million, $213 million and $229 million during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Company’s payment obligations as of December 31, 2023 for its contractual obligations which consists of guaranteed minimum commitments, including rights negotiated directly with content owners for distribution on company-owned channels or networks, commitments related to our role as an advertising and distribution sales agent for third party-owned channels or networks, commitments to our customer premise equipment and device vendors, contractual obligations related to third-party network augmentation and guaranteed minimum commitments under the Company’s programming contracts.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r>
      <w:tr>
        <w:trPr>
          <w:trHeight w:val="229"/>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29"/>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30"/>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29"/>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9"/>
        </w:trPr>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5,586</w:t>
            </w:r>
          </w:p>
        </w:tc>
      </w:tr>
      <w:tr>
        <w:trPr>
          <w:trHeight w:val="248"/>
        </w:trPr>
        <w:tc>
          <w:tcPr>
            <w:tcW w:w="9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items are not included in the contractual obligation table due to various factors discussed below. However, the Company incurs these costs as part of its operations:</w:t>
      </w:r>
    </w:p>
    <w:p>
      <w:pPr>
        <w:spacing w:after="0" w:line="189" w:lineRule="exact"/>
        <w:rPr>
          <w:sz w:val="20"/>
          <w:szCs w:val="20"/>
          <w:color w:val="auto"/>
        </w:rPr>
      </w:pPr>
    </w:p>
    <w:p>
      <w:pPr>
        <w:jc w:val="both"/>
        <w:ind w:left="340" w:hanging="332"/>
        <w:spacing w:after="0" w:line="257"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rents utility poles used in its operations. Generally, pole rentals are cancelable on short notice, but the Company anticipates that such rentals will recur. Rent expense incurred for pole rental attachments for the years ended December 31, 2023, 2022 and 2021 was $230 million, $207 million and $200 million,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pays franchise fees under multi-year franchise agreements based on a percentage of revenues generated from video service per year. The Company also pays other franchise related costs, such as public education grants, under multi-year agreements. Franchise fees and other franchise-related costs included in the accompanying statement of operations were $664 million, $730 million and $733 million for the years ended December 31, 2023, 2022 and 2021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$530 million in letters of credit, of which $36 million is secured under the Charter Operating credit facility, primarily to its various casualty carriers as collateral for reimbursement of workers' compensation, auto liability and general liability claims, as well as $296 million of surety bonds.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27, 2022, Entropic Communications, LLC (“Entropic”) filed a complaint in the United States District Court for the Eastern District of Texas alleging that Charter infringed six patents relating to the deployment of certain set-top boxes, cable modems and cable modem termination systems. Entropic sought monetary damages, including future license fees. On February 10, 2023, Entropic filed a separate lawsuit against Charter in the United States District Court for the Eastern District of Texas. The lawsuit alleged infringement of three patents that also relate to the deployment of certain set-top boxes and cable modems. Entropic sought monetary damages. On February 10, 2023, Entropic filed two more lawsuits against Charter in the United States District Court for the Eastern District of Texas. The two lawsuits alleged infringement of a total of twelve patents that relate to certain set-top boxes. Entropic sought monetary damages, including future license fees. On December 10, 2023, Charter and Entropic executed a settlement agreement that resolved all of these matters and the litigation was dismissed with prejudice.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California Attorney General and the Alameda County, California District Attorney are investigating whether certain of Charter’s waste disposal policies, procedures and practices are in violation of the California Business and Professions Code and the California Health and Safety Code. That investigation was commenced in January 2014. A similar investigation involving TWC was initiated in February 2012. Charter is cooperating with these investigations. While the Company is unable to predict the outcome of these investigations, it does not expect that the outcome will have a material effect on its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Entropic litigation described above, the Company is a defendant or co-defendant in several lawsuits involving alleged infringement of various intellectual property relating to various aspects of its businesses. Other industry participants are also defendants in certain of these cases or related cases. In the event that a court ultimately determines that the Company infringes on any intellectual property, the Company may be subject to substantial damages and/or an injunction that could require the Company or its vendors to modify certain products and services the Company offers to its subscribers, as well as negotiate royalty or license agreements with respect to the intellectual property at issue. While the Company believes the lawsuits are without merit and intends to defend the actions vigorously, no assurance can be given that any adverse outcome would not be material to the Company’s consolidated financial condition, results of operations, or liquidity. The Company cannot predict the outcome of any such claims nor can it reasonably estimate a range of possible loss.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other lawsuits, claims and regulatory inquiries that arise in the ordinary course of conducting its business. The ultimate outcome of these other legal matters pending against the Company cannot be predicted, and although such lawsuits and claims are not expected individually to have a material adverse effect on the Company’s consolidated financial condition, results of operations or liquidity, such lawsuits could have, in the aggregate, a material adverse effect on the Company’s consolidated financial condition, results of operations or liquidity. Whether or not the Company ultimately prevails in any particular lawsuit or claim, litigation can be time consuming and costly and injure the Company’s reputation.</w:t>
      </w: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sponsors qualified and unqualified defined benefit pension plans that provide pension benefits to a majority of employees who were employed by TWC before the merger with TWC. Pension benefits are based on formulas that reflect the employees’ years of service and compensation during their employment period. Actuarial gains or losses are changes in the amount of either the benefit obligation or the fair value of plan assets resulting from experience different from that assumed or from changes in assumptions. The Company has elected to follow a mark-to-market pension accounting policy for recording the actuarial gains or losses annually during the fourth quarter, or earlier if a remeasurement event occurs during an interim period.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2023, the Company purchased a buy-in group annuity contract ("GAC") from a highly rated insurer and in October 2023, the Company announced plans to fully terminate the qualified pension plan. The benefit obligation for the qualified pension plan as of December 31, 2023 of $2.4 billion was therefore determined on a plan termination basis for which it is assumed that a portion of eligible active and deferred vested participants will elect lump sum payments. Pension obligations will be distributed through a combination of lump sum payments to eligible participants who elect such payments and through the GAC.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Changes in the projected benefit obligation, fair value of plan assets and funded status of the pension plans from January 1 through December 31 are presented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r>
      <w:tr>
        <w:trPr>
          <w:trHeight w:val="22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(gain) loss</w:t>
            </w: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30"/>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w:t>
            </w: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1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5"/>
        </w:trPr>
        <w:tc>
          <w:tcPr>
            <w:tcW w:w="72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5"/>
        </w:trPr>
        <w:tc>
          <w:tcPr>
            <w:tcW w:w="72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r>
      <w:tr>
        <w:trPr>
          <w:trHeight w:val="22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w:t>
            </w: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1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5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years ended December 31, 2023, 2022 and 2021 consisted of the following:</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(103)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9"/>
              </w:rPr>
              <w:t>(97)</w:t>
            </w: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20" w:type="dxa"/>
            <w:vAlign w:val="bottom"/>
          </w:tcPr>
          <w:p>
            <w:pPr>
              <w:spacing w:after="0"/>
              <w:rPr>
                <w:sz w:val="19"/>
                <w:szCs w:val="19"/>
                <w:color w:val="auto"/>
              </w:rPr>
            </w:pPr>
          </w:p>
        </w:tc>
        <w:tc>
          <w:tcPr>
            <w:tcW w:w="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6"/>
              </w:rPr>
              <w:t>124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 (loss)</w:t>
            </w:r>
          </w:p>
        </w:tc>
        <w:tc>
          <w:tcPr>
            <w:tcW w:w="1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benefit (cost)</w:t>
            </w: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5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remeasurement loss recorded during the year ended December 31, 2023 primarily reflects the measurement of the projected benefit obligations under a plan termination basis. The remeasurement gains recorded during the years ended December 31, 2022 and 2021 were primarily driven by changes in the discount rate as well as gains or losses to record pension assets to fair value.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discount rates used to determine benefit obligations as of December 31, 2023 and 2022 were 4.65% and 5.46%, respectively. The Company utilized the 417(e) Applicable Mortality Table for lump sums for the portion of the benefit obligation not covered by the GAC as of December 31, 2023 and the Pri-2012/MP 2020 mortality table published by the Society of Actuaries to measure the benefit obligations as of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assumptions used to determine net periodic benefit costs consisted of the following:</w:t>
      </w:r>
    </w:p>
    <w:p>
      <w:pPr>
        <w:spacing w:after="0" w:line="28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78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0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developing the expected long-term rate of return on plan assets, the Company considered the pension portfolio’s composition, past average rate of earnings and the Company’s future asset allocation targets. The weighted average expected long-term rate of return on plan assets and discount rate used to determine net periodic pension benefit (cost) for the year ended December 31, 2024 are expected to be 5.00% and 4.65%, respectively. The Company determined the discount rates used to determine benefit obligations and net periodic pension benefit (cost) based on the yield of a large population of high quality corporate bonds with cash flows sufficient in timing and amount to settle projected future defined benefit payments.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 Assets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assets of the qualified pension plan are held in a master trust in which the qualified pension plan is the only participating plan (the “Master Trust”). The investment policy for the qualified pension plan is to manage the assets of the Master Trust with the objective to provide for pension liabilities to be met, seeking to maintain retirement income security for the participants of the plan and their beneficiaries. The investment portfolio is a mix of a GAC and pooled funds invested in fixed income securities, equity securities and certain alternative investments with the objective of matching plan liability performance, diversifying risk and achieving a target investment return. Pension assets are managed in a balanced portfolio comprised of two major components: a return-seeking portion and a liability-matching portion.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Company’s decision to terminate the qualified pension plan, the Company’s investment strategy has transitioned to liquidating and winding down the portfolio’s remaining return-seeking investments in a timely and orderly manner, while managing the liability-matching investments to hedge the interest rate risk of the liability for which the Company is still responsible (i.e., the liability not assumed by the GAC).</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investment assets of the qualified pension plan by level within the fair value hierarchy as of December 31, 2023 and 2022:</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60" w:type="dxa"/>
            <w:vAlign w:val="bottom"/>
            <w:tcBorders>
              <w:bottom w:val="single" w:sz="8" w:color="auto"/>
            </w:tcBorders>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Collective trust funds</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30"/>
        </w:trPr>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Group annuity contract</w:t>
            </w:r>
            <w:r>
              <w:rPr>
                <w:rFonts w:ascii="Times New Roman" w:cs="Times New Roman" w:eastAsia="Times New Roman" w:hAnsi="Times New Roman"/>
                <w:sz w:val="23"/>
                <w:szCs w:val="23"/>
                <w:color w:val="auto"/>
                <w:vertAlign w:val="superscript"/>
              </w:rPr>
              <w:t>(b)</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assets</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4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Accrued investment income and other receivables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measured at net asset value</w:t>
            </w:r>
            <w:r>
              <w:rPr>
                <w:rFonts w:ascii="Times New Roman" w:cs="Times New Roman" w:eastAsia="Times New Roman" w:hAnsi="Times New Roman"/>
                <w:sz w:val="23"/>
                <w:szCs w:val="23"/>
                <w:color w:val="auto"/>
                <w:vertAlign w:val="superscript"/>
              </w:rPr>
              <w:t>(c)</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
        </w:trPr>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39" w:lineRule="auto"/>
        <w:tabs>
          <w:tab w:leader="none" w:pos="335"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Collective trust funds consist of bond funds with corporate and U.S. treasury debt securities, equity funds with global equity index, infrastructure and real estate securities and short-term investment strategies comprised of instruments issued or fully guaranteed by the U.S. government and/or its agencies and multi-strategy funds, which are valued using the net assets provided by the administrator of the fund. The value of each fund is based on the readily determinable fair value of the underlying assets owned by the fund, less liabilities, and then divided by the number of units outstanding.</w:t>
      </w:r>
    </w:p>
    <w:p>
      <w:pPr>
        <w:ind w:left="340" w:hanging="332"/>
        <w:spacing w:after="0" w:line="219" w:lineRule="auto"/>
        <w:tabs>
          <w:tab w:leader="none" w:pos="328"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June 2023, the Company purchased a buy-in GAC which was initially recorded at the $1.4 billion purchase price and subsequently adjusted to fair value using changes to market conditions impacting the cash flow assumptions that were priced into the original contract.</w:t>
      </w:r>
    </w:p>
    <w:p>
      <w:pPr>
        <w:spacing w:after="0" w:line="1" w:lineRule="exact"/>
        <w:rPr>
          <w:rFonts w:ascii="Times New Roman" w:cs="Times New Roman" w:eastAsia="Times New Roman" w:hAnsi="Times New Roman"/>
          <w:sz w:val="23"/>
          <w:szCs w:val="23"/>
          <w:color w:val="auto"/>
          <w:vertAlign w:val="superscript"/>
        </w:rPr>
      </w:pPr>
    </w:p>
    <w:p>
      <w:pPr>
        <w:jc w:val="both"/>
        <w:ind w:left="340" w:hanging="332"/>
        <w:spacing w:after="0" w:line="234" w:lineRule="auto"/>
        <w:tabs>
          <w:tab w:leader="none" w:pos="335"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a practical expedient, certain investment classes which hold securities that are not readily available for redemption and are measured at fair value using the net asset value ("NAV") per share (or its equivalent) have not been classified in the fair value hierarchy. The primary investment classes include alternative, fixed income and real estate funds. Certain investments report NAV per share on a month or quarter lag. There are no material unfunded commitments with respect to these investment classes.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900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CHARTER COMMUNICATIONS, INC. AND SUBSIDIARIES</w:t>
            </w: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03"/>
        </w:trPr>
        <w:tc>
          <w:tcPr>
            <w:tcW w:w="9000" w:type="dxa"/>
            <w:vAlign w:val="bottom"/>
          </w:tcPr>
          <w:p>
            <w:pPr>
              <w:jc w:val="center"/>
              <w:ind w:left="21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16"/>
        </w:trPr>
        <w:tc>
          <w:tcPr>
            <w:tcW w:w="900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December 31, 2023, 2022 AND 2021</w:t>
            </w: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8"/>
        </w:trPr>
        <w:tc>
          <w:tcPr>
            <w:tcW w:w="900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(dollars in millions, except share or per share data or where indicated)</w:t>
            </w: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58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Level 3 assets as of December 31, 2023:</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90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Group Annuity Contract</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1"/>
        </w:trPr>
        <w:tc>
          <w:tcPr>
            <w:tcW w:w="9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 Contributions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made no cash contributions to the qualified pension plan during the years ended December 31, 2023, 2022 and 2021; however, the Company may make discretionary cash contributions to the qualified pension plan in the future. Such contributions will be dependent on a variety of factors, including current and expected interest rates, asset performance, the funded status of the qualified pension plan and management’s judgment. For the nonqualified unfunded pension plan, the Company will continue to make contributions during 2024 to the extent benefits are paid.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Benefit payments for the pension plans are expected to be $194 million in 2024, $183 million in 2025, $176 million in 2026, $169 million in 2027, $162 million in 2028 and $753 million in 2029 to 2033.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Benefit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employees may participate in the Charter Communications, Inc. 401(k) Savings Plan (the “401(k) Plan”). Employees that qualify for participation can contribute up to 50% of their salary, on a pre-tax basis, subject to a maximum contribution limit as determined by the IRS. The Company’s matching contribution is discretionary and is equal to 100% of the amount of the salary reduction the participant elects to defer (up to 6% of the participant’s eligible compensation), excluding any catch-up contributions and is paid by the Company on a per pay period basis.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employees who are not eligible to participate in the Company’s long-term incentive plan and who are not covered by a collective bargaining agreement, the Company offers a contribution to the Retirement Accumulation Plan ("RAP"), equal to 3% of eligible pay. The Company made contributions to the 401(k) plan and RAP totaling $566 million, $506 million and $495 million for the years ended December 31, 2023, 2022 and 2021, respectively.</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Recently Issued Accounting Standards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Standards Update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ASU") No. 2023-07, Segment Reporting (Topic 280): Improvements to Reportable Segment Disclosures ("ASU 2023-07")</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that improves disclosures about a public entity’s reportable segments and addresses requests from investors and other allocators of capital for additional, more detailed information about a reportable segment’s expenses. The standard requires public entities to disclose, on an annual and interim basis, significant segment expenses that are regularly provided to the chief operating decision maker. Additionally, public entities with a single reportable segment must provide all the disclosures required by ASU 2023-07, as well as all existing segment disclosures in accordance with Accounting Standards Codification 280. ASU 2023-07 is effective for annual periods beginning after December 15, 2023 (year ending December 31, 2024 for the Company). Early adoption is permitted. The Company expects the adoption of the standard to result in additional segment footnote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No. 2023-09, Improvements to Income Tax Disclosures ("ASU 2023-09")</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that addresses requests for improved income tax disclosures from investors, lenders, creditors, and other allocators of capital that use the financial statements to make capital allocation decisions. The standard requires enhanced disclosures primarily related to existing rate reconciliation and income taxes paid information to help investors better assess how a company’s operations and related tax risks and tax planning and operational opportunities affect the company’s tax rate and prospects for future cash flows. ASU 2023-09 improves the transparency of income tax</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(year ending December 31, 2025 for the Company). Early adoption is permitted. The Company expects the adoption of the standard to result in additional disaggregation in the income tax footnote disclosures.</w:t>
      </w:r>
    </w:p>
    <w:p>
      <w:pPr>
        <w:spacing w:after="0" w:line="203" w:lineRule="exact"/>
        <w:rPr>
          <w:sz w:val="20"/>
          <w:szCs w:val="20"/>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Parent Company Only Financial Statements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result of limitations on, and prohibitions of, distributions, substantially all of the net assets of the consolidated subsidiaries are restricted from distribution to Charter, the parent company. The following condensed parent-only financial statements of Charter account for the investment in Charter Holdco under the equity method of accounting. Comprehensive income equaled net income for the years ended December 31, 2023, 2022 and 2021. The financial statements should be read in conjunction with the consolidated financial statements of the Company and notes thereto.</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(Parent Company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vMerge w:val="restart"/>
          </w:tcPr>
          <w:p>
            <w:pPr>
              <w:ind w:left="3740"/>
              <w:spacing w:after="0"/>
              <w:rPr>
                <w:sz w:val="20"/>
                <w:szCs w:val="20"/>
                <w:color w:val="auto"/>
              </w:rPr>
            </w:pPr>
            <w:r>
              <w:rPr>
                <w:rFonts w:ascii="Times New Roman" w:cs="Times New Roman" w:eastAsia="Times New Roman" w:hAnsi="Times New Roman"/>
                <w:sz w:val="18"/>
                <w:szCs w:val="18"/>
                <w:color w:val="auto"/>
              </w:rPr>
              <w:t>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81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related party</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30,801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28,729</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receivable - related party</w:t>
            </w:r>
          </w:p>
        </w:tc>
        <w:tc>
          <w:tcPr>
            <w:tcW w:w="9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30,860</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28,782</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18,883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18,998</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payable - related party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11,086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0" w:type="dxa"/>
            <w:vAlign w:val="bottom"/>
          </w:tcPr>
          <w:p>
            <w:pPr>
              <w:spacing w:after="0"/>
              <w:rPr>
                <w:sz w:val="1"/>
                <w:szCs w:val="1"/>
                <w:color w:val="auto"/>
              </w:rPr>
            </w:pPr>
          </w:p>
        </w:tc>
      </w:tr>
      <w:tr>
        <w:trPr>
          <w:trHeight w:val="223"/>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30,860</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(Parent Company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48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4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income of subsidiaries</w:t>
            </w: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r>
      <w:tr>
        <w:trPr>
          <w:trHeight w:val="223"/>
        </w:trPr>
        <w:tc>
          <w:tcPr>
            <w:tcW w:w="48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5,639</w:t>
            </w:r>
          </w:p>
        </w:tc>
      </w:tr>
      <w:tr>
        <w:trPr>
          <w:trHeight w:val="237"/>
        </w:trPr>
        <w:tc>
          <w:tcPr>
            <w:tcW w:w="48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w:t>
            </w:r>
          </w:p>
        </w:tc>
      </w:tr>
      <w:tr>
        <w:trPr>
          <w:trHeight w:val="20"/>
        </w:trPr>
        <w:tc>
          <w:tcPr>
            <w:tcW w:w="6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822"/>
        </w:trPr>
        <w:tc>
          <w:tcPr>
            <w:tcW w:w="7900" w:type="dxa"/>
            <w:vAlign w:val="bottom"/>
            <w:gridSpan w:val="6"/>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Charter Communications, Inc. (Parent Company Only)</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8"/>
        </w:trPr>
        <w:tc>
          <w:tcPr>
            <w:tcW w:w="7200" w:type="dxa"/>
            <w:vAlign w:val="bottom"/>
            <w:gridSpan w:val="4"/>
          </w:tcPr>
          <w:p>
            <w:pPr>
              <w:jc w:val="center"/>
              <w:ind w:left="395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86"/>
        </w:trPr>
        <w:tc>
          <w:tcPr>
            <w:tcW w:w="4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60" w:type="dxa"/>
            <w:vAlign w:val="bottom"/>
            <w:tcBorders>
              <w:bottom w:val="single" w:sz="8" w:color="auto"/>
            </w:tcBorders>
          </w:tcPr>
          <w:p>
            <w:pPr>
              <w:spacing w:after="0"/>
              <w:rPr>
                <w:sz w:val="24"/>
                <w:szCs w:val="24"/>
                <w:color w:val="auto"/>
              </w:rPr>
            </w:pPr>
          </w:p>
        </w:tc>
      </w:tr>
      <w:tr>
        <w:trPr>
          <w:trHeight w:val="223"/>
        </w:trPr>
        <w:tc>
          <w:tcPr>
            <w:tcW w:w="48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280" w:type="dxa"/>
            <w:vAlign w:val="bottom"/>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6"/>
        </w:trPr>
        <w:tc>
          <w:tcPr>
            <w:tcW w:w="4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to subsidiaries</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from subsidiaries</w:t>
            </w:r>
          </w:p>
        </w:tc>
        <w:tc>
          <w:tcPr>
            <w:tcW w:w="12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w:t>
            </w:r>
          </w:p>
        </w:tc>
      </w:tr>
      <w:tr>
        <w:trPr>
          <w:trHeight w:val="223"/>
        </w:trPr>
        <w:tc>
          <w:tcPr>
            <w:tcW w:w="48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15,472</w:t>
            </w:r>
          </w:p>
        </w:tc>
      </w:tr>
      <w:tr>
        <w:trPr>
          <w:trHeight w:val="236"/>
        </w:trPr>
        <w:tc>
          <w:tcPr>
            <w:tcW w:w="48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(15,431)</w:t>
            </w:r>
          </w:p>
        </w:tc>
      </w:tr>
      <w:tr>
        <w:trPr>
          <w:trHeight w:val="229"/>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flows from related party loans</w:t>
            </w:r>
          </w:p>
        </w:tc>
        <w:tc>
          <w:tcPr>
            <w:tcW w:w="12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8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w:t>
            </w:r>
          </w:p>
        </w:tc>
      </w:tr>
      <w:tr>
        <w:trPr>
          <w:trHeight w:val="236"/>
        </w:trPr>
        <w:tc>
          <w:tcPr>
            <w:tcW w:w="48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80" w:type="dxa"/>
            <w:vAlign w:val="bottom"/>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27"/>
        </w:trPr>
        <w:tc>
          <w:tcPr>
            <w:tcW w:w="4880" w:type="dxa"/>
            <w:vAlign w:val="bottom"/>
          </w:tcPr>
          <w:p>
            <w:pPr>
              <w:spacing w:after="0"/>
              <w:rPr>
                <w:sz w:val="24"/>
                <w:szCs w:val="24"/>
                <w:color w:val="auto"/>
              </w:rPr>
            </w:pPr>
          </w:p>
        </w:tc>
        <w:tc>
          <w:tcPr>
            <w:tcW w:w="2320" w:type="dxa"/>
            <w:vAlign w:val="bottom"/>
            <w:gridSpan w:val="3"/>
          </w:tcPr>
          <w:p>
            <w:pPr>
              <w:jc w:val="center"/>
              <w:ind w:right="730"/>
              <w:spacing w:after="0"/>
              <w:rPr>
                <w:sz w:val="20"/>
                <w:szCs w:val="20"/>
                <w:color w:val="auto"/>
              </w:rPr>
            </w:pPr>
            <w:r>
              <w:rPr>
                <w:rFonts w:ascii="Times New Roman" w:cs="Times New Roman" w:eastAsia="Times New Roman" w:hAnsi="Times New Roman"/>
                <w:sz w:val="18"/>
                <w:szCs w:val="18"/>
                <w:color w:val="auto"/>
                <w:w w:val="99"/>
              </w:rPr>
              <w:t>F-40</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b w:val="1"/>
          <w:bCs w:val="1"/>
          <w:color w:val="auto"/>
        </w:rPr>
        <w:t>Exhibit 4.82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EXECUTION VERSION</w:t>
      </w:r>
    </w:p>
    <w:p>
      <w:pPr>
        <w:spacing w:after="0" w:line="23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TWENTY-THIRD SUPPLEMENTAL INDENTURE</w:t>
      </w:r>
    </w:p>
    <w:p>
      <w:pPr>
        <w:spacing w:after="0" w:line="229" w:lineRule="exact"/>
        <w:rPr>
          <w:sz w:val="20"/>
          <w:szCs w:val="20"/>
          <w:color w:val="auto"/>
        </w:rPr>
      </w:pPr>
    </w:p>
    <w:p>
      <w:pPr>
        <w:ind w:right="40" w:firstLine="756"/>
        <w:spacing w:after="0" w:line="249" w:lineRule="auto"/>
        <w:rPr>
          <w:sz w:val="20"/>
          <w:szCs w:val="20"/>
          <w:color w:val="auto"/>
        </w:rPr>
      </w:pPr>
      <w:r>
        <w:rPr>
          <w:rFonts w:ascii="Times New Roman" w:cs="Times New Roman" w:eastAsia="Times New Roman" w:hAnsi="Times New Roman"/>
          <w:sz w:val="21"/>
          <w:szCs w:val="21"/>
          <w:color w:val="auto"/>
        </w:rPr>
        <w:t>TWENTY-THIRD SUPPLEMENTAL INDENTURE, dated as of November 7, 2023 (this “</w:t>
      </w:r>
      <w:r>
        <w:rPr>
          <w:rFonts w:ascii="Times New Roman" w:cs="Times New Roman" w:eastAsia="Times New Roman" w:hAnsi="Times New Roman"/>
          <w:sz w:val="21"/>
          <w:szCs w:val="21"/>
          <w:i w:val="1"/>
          <w:iCs w:val="1"/>
          <w:color w:val="auto"/>
        </w:rPr>
        <w:t>Supplemental Indenture</w:t>
      </w:r>
      <w:r>
        <w:rPr>
          <w:rFonts w:ascii="Times New Roman" w:cs="Times New Roman" w:eastAsia="Times New Roman" w:hAnsi="Times New Roman"/>
          <w:sz w:val="21"/>
          <w:szCs w:val="21"/>
          <w:color w:val="auto"/>
        </w:rPr>
        <w:t>”), among each of the parties named on Schedule I hereto (collectively, the “</w:t>
      </w:r>
      <w:r>
        <w:rPr>
          <w:rFonts w:ascii="Times New Roman" w:cs="Times New Roman" w:eastAsia="Times New Roman" w:hAnsi="Times New Roman"/>
          <w:sz w:val="21"/>
          <w:szCs w:val="21"/>
          <w:i w:val="1"/>
          <w:iCs w:val="1"/>
          <w:color w:val="auto"/>
        </w:rPr>
        <w:t>New Guarantors</w:t>
      </w:r>
      <w:r>
        <w:rPr>
          <w:rFonts w:ascii="Times New Roman" w:cs="Times New Roman" w:eastAsia="Times New Roman" w:hAnsi="Times New Roman"/>
          <w:sz w:val="21"/>
          <w:szCs w:val="21"/>
          <w:color w:val="auto"/>
        </w:rPr>
        <w:t>”), Charter Communications Operating, LLC, a Delaware limited liability company (“</w:t>
      </w:r>
      <w:r>
        <w:rPr>
          <w:rFonts w:ascii="Times New Roman" w:cs="Times New Roman" w:eastAsia="Times New Roman" w:hAnsi="Times New Roman"/>
          <w:sz w:val="21"/>
          <w:szCs w:val="21"/>
          <w:i w:val="1"/>
          <w:iCs w:val="1"/>
          <w:color w:val="auto"/>
        </w:rPr>
        <w:t>CCO</w:t>
      </w:r>
      <w:r>
        <w:rPr>
          <w:rFonts w:ascii="Times New Roman" w:cs="Times New Roman" w:eastAsia="Times New Roman" w:hAnsi="Times New Roman"/>
          <w:sz w:val="21"/>
          <w:szCs w:val="21"/>
          <w:color w:val="auto"/>
        </w:rPr>
        <w:t>”), Charter Communications Operating Capital Corp., a Delaware corporation (together with CCO, the “</w:t>
      </w:r>
      <w:r>
        <w:rPr>
          <w:rFonts w:ascii="Times New Roman" w:cs="Times New Roman" w:eastAsia="Times New Roman" w:hAnsi="Times New Roman"/>
          <w:sz w:val="21"/>
          <w:szCs w:val="21"/>
          <w:i w:val="1"/>
          <w:iCs w:val="1"/>
          <w:color w:val="auto"/>
        </w:rPr>
        <w:t>Issuers</w:t>
      </w:r>
      <w:r>
        <w:rPr>
          <w:rFonts w:ascii="Times New Roman" w:cs="Times New Roman" w:eastAsia="Times New Roman" w:hAnsi="Times New Roman"/>
          <w:sz w:val="21"/>
          <w:szCs w:val="21"/>
          <w:color w:val="auto"/>
        </w:rPr>
        <w:t>”) and The Bank of New York Mellon Trust Company, N.A., a national banking association, as trustee (the “</w:t>
      </w:r>
      <w:r>
        <w:rPr>
          <w:rFonts w:ascii="Times New Roman" w:cs="Times New Roman" w:eastAsia="Times New Roman" w:hAnsi="Times New Roman"/>
          <w:sz w:val="21"/>
          <w:szCs w:val="21"/>
          <w:i w:val="1"/>
          <w:iCs w:val="1"/>
          <w:color w:val="auto"/>
        </w:rPr>
        <w:t>Trustee</w:t>
      </w:r>
      <w:r>
        <w:rPr>
          <w:rFonts w:ascii="Times New Roman" w:cs="Times New Roman" w:eastAsia="Times New Roman" w:hAnsi="Times New Roman"/>
          <w:sz w:val="21"/>
          <w:szCs w:val="21"/>
          <w:color w:val="auto"/>
        </w:rPr>
        <w:t>”) and collateral agent (the “</w:t>
      </w:r>
      <w:r>
        <w:rPr>
          <w:rFonts w:ascii="Times New Roman" w:cs="Times New Roman" w:eastAsia="Times New Roman" w:hAnsi="Times New Roman"/>
          <w:sz w:val="21"/>
          <w:szCs w:val="21"/>
          <w:i w:val="1"/>
          <w:iCs w:val="1"/>
          <w:color w:val="auto"/>
        </w:rPr>
        <w:t>Collateral Agent</w:t>
      </w:r>
      <w:r>
        <w:rPr>
          <w:rFonts w:ascii="Times New Roman" w:cs="Times New Roman" w:eastAsia="Times New Roman" w:hAnsi="Times New Roman"/>
          <w:sz w:val="21"/>
          <w:szCs w:val="21"/>
          <w:color w:val="auto"/>
        </w:rPr>
        <w:t>”) under the Indenture referred to below.</w:t>
      </w:r>
    </w:p>
    <w:p>
      <w:pPr>
        <w:spacing w:after="0" w:line="19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33" w:lineRule="exact"/>
        <w:rPr>
          <w:sz w:val="20"/>
          <w:szCs w:val="20"/>
          <w:color w:val="auto"/>
        </w:rPr>
      </w:pPr>
    </w:p>
    <w:p>
      <w:pPr>
        <w:ind w:right="40" w:firstLine="756"/>
        <w:spacing w:after="0" w:line="243" w:lineRule="auto"/>
        <w:rPr>
          <w:sz w:val="20"/>
          <w:szCs w:val="20"/>
          <w:color w:val="auto"/>
        </w:rPr>
      </w:pPr>
      <w:r>
        <w:rPr>
          <w:rFonts w:ascii="Times New Roman" w:cs="Times New Roman" w:eastAsia="Times New Roman" w:hAnsi="Times New Roman"/>
          <w:sz w:val="21"/>
          <w:szCs w:val="21"/>
          <w:color w:val="auto"/>
        </w:rPr>
        <w:t>WHEREAS, the Issuers and CCO Safari II, LLC, a Delaware limited liability company, have heretofore executed and delivered to the Trustee an Indenture, dated as of July 23, 2015, as amended by the First Supplemental Indenture, dated as of July 23, 2015, the Second Supplemental Indenture, dated as of May 18, 2016, the Third Supplemental Indenture, dated as of May 18, 2016, the Fourth Supplemental Indenture, dated as of November 1, 2016, the Fifth Supplemental Indenture, dated as of April 20, 2017, the Sixth Supplemental Indenture, dated as of July 6, 2017, the Seventh Supplemental Indenture, dated as of September 18, 2017, the Eighth Supplemental Indenture, dated as of December 21, 2017, the Ninth Supplemental Indenture, dated as of April 17, 2018, the Tenth Supplemental Indenture, dated as of July 3, 2018, the Eleventh Supplemental Indenture, dated as of July 27, 2018, the Twelfth Supplemental Indenture, dated as of January 17, 2019, Thirteenth Supplemental Indenture, dated as of June 21, 2019, Fourteenth Supplemental Indenture, dated as of July 10, 2019, Fifteenth Supplemental Indenture, dated as of October 24, 2019, Sixteenth Supplemental Indenture, dated as of April 17, 2020, Seventeenth Supplemental Indenture, dated as of November 19, 2020, Eighteenth Supplemental Indenture, dated as of December 4, 2020, Nineteenth Supplemental Indenture, dated as of March 4, 2021, Twentieth Supplemental Indenture, dated as of June 2, 201, Twenty- first Supplemental Indenture, dated as of October 12, 2021, Twenty-Second Supplemental Indenture, dated as of March 15, 2022 (as amended, supplemented or otherwise modified, the “</w:t>
      </w:r>
      <w:r>
        <w:rPr>
          <w:rFonts w:ascii="Times New Roman" w:cs="Times New Roman" w:eastAsia="Times New Roman" w:hAnsi="Times New Roman"/>
          <w:sz w:val="21"/>
          <w:szCs w:val="21"/>
          <w:i w:val="1"/>
          <w:iCs w:val="1"/>
          <w:color w:val="auto"/>
        </w:rPr>
        <w:t>Indenture</w:t>
      </w:r>
      <w:r>
        <w:rPr>
          <w:rFonts w:ascii="Times New Roman" w:cs="Times New Roman" w:eastAsia="Times New Roman" w:hAnsi="Times New Roman"/>
          <w:sz w:val="21"/>
          <w:szCs w:val="21"/>
          <w:color w:val="auto"/>
        </w:rPr>
        <w:t>”), providing for the issuance of the Issuers’ Notes;</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Issuers desire to add the New Guarantors as Note Guarantors under the Indenture;</w:t>
      </w:r>
    </w:p>
    <w:p>
      <w:pPr>
        <w:spacing w:after="0" w:line="233" w:lineRule="exact"/>
        <w:rPr>
          <w:sz w:val="20"/>
          <w:szCs w:val="20"/>
          <w:color w:val="auto"/>
        </w:rPr>
      </w:pPr>
    </w:p>
    <w:p>
      <w:pPr>
        <w:ind w:right="440" w:firstLine="756"/>
        <w:spacing w:after="0" w:line="244" w:lineRule="auto"/>
        <w:rPr>
          <w:sz w:val="20"/>
          <w:szCs w:val="20"/>
          <w:color w:val="auto"/>
        </w:rPr>
      </w:pPr>
      <w:r>
        <w:rPr>
          <w:rFonts w:ascii="Times New Roman" w:cs="Times New Roman" w:eastAsia="Times New Roman" w:hAnsi="Times New Roman"/>
          <w:sz w:val="22"/>
          <w:szCs w:val="22"/>
          <w:color w:val="auto"/>
        </w:rPr>
        <w:t>WHEREAS, pursuant to Section 9.01(4) of the Indenture, the Trustee, the Collateral Agent, the Issuers and other Guarantors, if any, are authorized to execute and deliver this Supplemental Indenture to add the Note Guarantees by the New Guarantors;</w:t>
      </w:r>
    </w:p>
    <w:p>
      <w:pPr>
        <w:spacing w:after="0" w:line="200" w:lineRule="exact"/>
        <w:rPr>
          <w:sz w:val="20"/>
          <w:szCs w:val="20"/>
          <w:color w:val="auto"/>
        </w:rPr>
      </w:pPr>
    </w:p>
    <w:p>
      <w:pPr>
        <w:jc w:val="both"/>
        <w:ind w:right="340" w:firstLine="756"/>
        <w:spacing w:after="0" w:line="238"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New Guarantor, the Issuers and the Trustee mutually covenant and agree for the equal and ratable benefit of Holders as follows:</w:t>
      </w:r>
    </w:p>
    <w:p>
      <w:pPr>
        <w:spacing w:after="0" w:line="206" w:lineRule="exact"/>
        <w:rPr>
          <w:sz w:val="20"/>
          <w:szCs w:val="20"/>
          <w:color w:val="auto"/>
        </w:rPr>
      </w:pPr>
    </w:p>
    <w:p>
      <w:pPr>
        <w:ind w:right="340" w:firstLine="737"/>
        <w:spacing w:after="0" w:line="244" w:lineRule="auto"/>
        <w:tabs>
          <w:tab w:leader="none" w:pos="129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Supplemental Indenture, terms defined in the Indenture or in the preamble or recital hereto are used herein as therein defined. The words “</w:t>
      </w:r>
      <w:r>
        <w:rPr>
          <w:rFonts w:ascii="Times New Roman" w:cs="Times New Roman" w:eastAsia="Times New Roman" w:hAnsi="Times New Roman"/>
          <w:sz w:val="22"/>
          <w:szCs w:val="22"/>
          <w:i w:val="1"/>
          <w:iCs w:val="1"/>
          <w:color w:val="auto"/>
        </w:rPr>
        <w:t>herein,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hereof</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hereby</w:t>
      </w:r>
      <w:r>
        <w:rPr>
          <w:rFonts w:ascii="Times New Roman" w:cs="Times New Roman" w:eastAsia="Times New Roman" w:hAnsi="Times New Roman"/>
          <w:sz w:val="22"/>
          <w:szCs w:val="22"/>
          <w:color w:val="auto"/>
        </w:rPr>
        <w:t>” and other words of similar import used in this Supplemental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Indenture refer to this Supplemental Indenture as a whole and not to any particular section hereof.</w:t>
      </w:r>
    </w:p>
    <w:p>
      <w:pPr>
        <w:spacing w:after="0" w:line="233" w:lineRule="exact"/>
        <w:rPr>
          <w:sz w:val="20"/>
          <w:szCs w:val="20"/>
          <w:color w:val="auto"/>
        </w:rPr>
      </w:pPr>
    </w:p>
    <w:p>
      <w:pPr>
        <w:ind w:right="100" w:firstLine="737"/>
        <w:spacing w:after="0" w:line="234" w:lineRule="auto"/>
        <w:tabs>
          <w:tab w:leader="none" w:pos="129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Agreement to Guarantee</w:t>
      </w:r>
      <w:r>
        <w:rPr>
          <w:rFonts w:ascii="Times New Roman" w:cs="Times New Roman" w:eastAsia="Times New Roman" w:hAnsi="Times New Roman"/>
          <w:sz w:val="22"/>
          <w:szCs w:val="22"/>
          <w:color w:val="auto"/>
        </w:rPr>
        <w:t>. Each of the New Guarantors hereby agrees, jointly and severally with each other and all existing guarantors (if any), to unconditionally guarantee the Issuers’ Obligations under the Notes and the Indenture on the terms and subject to the conditions set forth in Article 10 of the Indenture and to be bound by all other applicable provisions of the Indenture and the Notes and to perform all of the obligations and agreements of a Note Guarantor under the Indenture until released pursuant to the terms of the Indenture. Each of the New Guarantors will be entitled to the benefits set forth in Article 10 of the Indenture, including the release provisions set forth in Section 10.02(b) thereof.</w:t>
      </w:r>
    </w:p>
    <w:p>
      <w:pPr>
        <w:spacing w:after="0" w:line="207" w:lineRule="exact"/>
        <w:rPr>
          <w:rFonts w:ascii="Times New Roman" w:cs="Times New Roman" w:eastAsia="Times New Roman" w:hAnsi="Times New Roman"/>
          <w:sz w:val="20"/>
          <w:szCs w:val="20"/>
          <w:color w:val="auto"/>
        </w:rPr>
      </w:pPr>
    </w:p>
    <w:p>
      <w:pPr>
        <w:ind w:right="220" w:firstLine="737"/>
        <w:spacing w:after="0" w:line="258" w:lineRule="auto"/>
        <w:tabs>
          <w:tab w:leader="none" w:pos="129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to the New Guarantors shall be given as provided in Section 12.02 of the Indenture.</w:t>
      </w:r>
    </w:p>
    <w:p>
      <w:pPr>
        <w:spacing w:after="0" w:line="185" w:lineRule="exact"/>
        <w:rPr>
          <w:rFonts w:ascii="Times New Roman" w:cs="Times New Roman" w:eastAsia="Times New Roman" w:hAnsi="Times New Roman"/>
          <w:sz w:val="20"/>
          <w:szCs w:val="20"/>
          <w:color w:val="auto"/>
        </w:rPr>
      </w:pPr>
    </w:p>
    <w:p>
      <w:pPr>
        <w:jc w:val="both"/>
        <w:ind w:right="300" w:firstLine="737"/>
        <w:spacing w:after="0" w:line="239" w:lineRule="auto"/>
        <w:tabs>
          <w:tab w:leader="none" w:pos="129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Ratification of Indenture; Supplemental Indentures Part of Indenture</w:t>
      </w:r>
      <w:r>
        <w:rPr>
          <w:rFonts w:ascii="Times New Roman" w:cs="Times New Roman" w:eastAsia="Times New Roman" w:hAnsi="Times New Roman"/>
          <w:sz w:val="22"/>
          <w:szCs w:val="22"/>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207" w:lineRule="exact"/>
        <w:rPr>
          <w:rFonts w:ascii="Times New Roman" w:cs="Times New Roman" w:eastAsia="Times New Roman" w:hAnsi="Times New Roman"/>
          <w:sz w:val="20"/>
          <w:szCs w:val="20"/>
          <w:color w:val="auto"/>
        </w:rPr>
      </w:pPr>
    </w:p>
    <w:p>
      <w:pPr>
        <w:ind w:right="120" w:firstLine="737"/>
        <w:spacing w:after="0" w:line="244" w:lineRule="auto"/>
        <w:tabs>
          <w:tab w:leader="none" w:pos="129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w:t>
      </w:r>
    </w:p>
    <w:p>
      <w:pPr>
        <w:spacing w:after="0" w:line="200" w:lineRule="exact"/>
        <w:rPr>
          <w:rFonts w:ascii="Times New Roman" w:cs="Times New Roman" w:eastAsia="Times New Roman" w:hAnsi="Times New Roman"/>
          <w:sz w:val="20"/>
          <w:szCs w:val="20"/>
          <w:color w:val="auto"/>
        </w:rPr>
      </w:pPr>
    </w:p>
    <w:p>
      <w:pPr>
        <w:jc w:val="both"/>
        <w:ind w:firstLine="737"/>
        <w:spacing w:after="0" w:line="238" w:lineRule="auto"/>
        <w:tabs>
          <w:tab w:leader="none" w:pos="129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Trustee Makes No Representation</w:t>
      </w:r>
      <w:r>
        <w:rPr>
          <w:rFonts w:ascii="Times New Roman" w:cs="Times New Roman" w:eastAsia="Times New Roman" w:hAnsi="Times New Roman"/>
          <w:sz w:val="22"/>
          <w:szCs w:val="22"/>
          <w:color w:val="auto"/>
        </w:rPr>
        <w:t>. The recitals contained herein shall be taken as the statements of the Issuers, and the Trustee assumes no responsibility for their correctness. The Trustee makes no representation as to the validity or sufficiency of this Supplemental Indenture.</w:t>
      </w:r>
    </w:p>
    <w:p>
      <w:pPr>
        <w:spacing w:after="0" w:line="205" w:lineRule="exact"/>
        <w:rPr>
          <w:rFonts w:ascii="Times New Roman" w:cs="Times New Roman" w:eastAsia="Times New Roman" w:hAnsi="Times New Roman"/>
          <w:sz w:val="20"/>
          <w:szCs w:val="20"/>
          <w:color w:val="auto"/>
        </w:rPr>
      </w:pPr>
    </w:p>
    <w:p>
      <w:pPr>
        <w:ind w:right="160" w:firstLine="737"/>
        <w:spacing w:after="0" w:line="258" w:lineRule="auto"/>
        <w:tabs>
          <w:tab w:leader="none" w:pos="129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The parties may sign any number of copies of this Supplemental Indenture. Each signed copy shall be an original, but all of them together represent the same agreement.</w:t>
      </w:r>
    </w:p>
    <w:p>
      <w:pPr>
        <w:spacing w:after="0" w:line="185" w:lineRule="exact"/>
        <w:rPr>
          <w:rFonts w:ascii="Times New Roman" w:cs="Times New Roman" w:eastAsia="Times New Roman" w:hAnsi="Times New Roman"/>
          <w:sz w:val="20"/>
          <w:szCs w:val="20"/>
          <w:color w:val="auto"/>
        </w:rPr>
      </w:pPr>
    </w:p>
    <w:p>
      <w:pPr>
        <w:ind w:left="1300" w:hanging="563"/>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headings herein are for convenience only and shall not affect the construction</w:t>
      </w:r>
    </w:p>
    <w:p>
      <w:pPr>
        <w:spacing w:after="0" w:line="14"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8" w:right="339" w:bottom="1440" w:gutter="0" w:footer="0" w:header="0"/>
        </w:sectPr>
      </w:pPr>
    </w:p>
    <w:bookmarkStart w:id="112" w:name="page113"/>
    <w:bookmarkEnd w:id="112"/>
    <w:p>
      <w:pPr>
        <w:ind w:firstLine="755"/>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Twenty-Third Supplemental Indenture to be duly executed as of the date first above written.</w:t>
      </w:r>
    </w:p>
    <w:p>
      <w:pPr>
        <w:spacing w:after="0" w:line="200" w:lineRule="exact"/>
        <w:rPr>
          <w:sz w:val="20"/>
          <w:szCs w:val="20"/>
          <w:color w:val="auto"/>
        </w:rPr>
      </w:pPr>
    </w:p>
    <w:p>
      <w:pPr>
        <w:spacing w:after="0" w:line="26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CHARTER COMMUNICATIONS</w:t>
      </w:r>
    </w:p>
    <w:p>
      <w:pPr>
        <w:spacing w:after="0" w:line="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OPERATING, LLC</w:t>
      </w:r>
    </w:p>
    <w:p>
      <w:pPr>
        <w:spacing w:after="0" w:line="275" w:lineRule="exact"/>
        <w:rPr>
          <w:sz w:val="20"/>
          <w:szCs w:val="20"/>
          <w:color w:val="auto"/>
        </w:rPr>
      </w:pPr>
    </w:p>
    <w:tbl>
      <w:tblPr>
        <w:tblLayout w:type="fixed"/>
        <w:tblInd w:w="4840" w:type="dxa"/>
        <w:tblCellMar>
          <w:top w:w="0" w:type="dxa"/>
          <w:left w:w="0" w:type="dxa"/>
          <w:bottom w:w="0" w:type="dxa"/>
          <w:right w:w="0" w:type="dxa"/>
        </w:tblCellMar>
      </w:tblP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Scott A. Schwartz</w:t>
            </w:r>
          </w:p>
        </w:tc>
      </w:tr>
      <w:tr>
        <w:trPr>
          <w:trHeight w:val="250"/>
        </w:trPr>
        <w:tc>
          <w:tcPr>
            <w:tcW w:w="780" w:type="dxa"/>
            <w:vAlign w:val="bottom"/>
          </w:tcPr>
          <w:p>
            <w:pPr>
              <w:spacing w:after="0"/>
              <w:rPr>
                <w:sz w:val="21"/>
                <w:szCs w:val="21"/>
                <w:color w:val="auto"/>
              </w:rPr>
            </w:pPr>
          </w:p>
        </w:tc>
        <w:tc>
          <w:tcPr>
            <w:tcW w:w="562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Scott A. Schwartz</w:t>
            </w:r>
          </w:p>
        </w:tc>
      </w:tr>
      <w:tr>
        <w:trPr>
          <w:trHeight w:val="270"/>
        </w:trPr>
        <w:tc>
          <w:tcPr>
            <w:tcW w:w="780" w:type="dxa"/>
            <w:vAlign w:val="bottom"/>
          </w:tcPr>
          <w:p>
            <w:pPr>
              <w:spacing w:after="0"/>
              <w:rPr>
                <w:sz w:val="23"/>
                <w:szCs w:val="23"/>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Group Vice President, Corporate</w:t>
            </w:r>
          </w:p>
        </w:tc>
      </w:tr>
      <w:tr>
        <w:trPr>
          <w:trHeight w:val="282"/>
        </w:trPr>
        <w:tc>
          <w:tcPr>
            <w:tcW w:w="78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Finance and Treasurer</w:t>
            </w:r>
          </w:p>
        </w:tc>
      </w:tr>
    </w:tbl>
    <w:p>
      <w:pPr>
        <w:spacing w:after="0" w:line="2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CHARTER COMMUNICATIONS</w:t>
      </w:r>
    </w:p>
    <w:p>
      <w:pPr>
        <w:spacing w:after="0" w:line="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OPERATING CAPITAL CORP.</w:t>
      </w:r>
    </w:p>
    <w:p>
      <w:pPr>
        <w:spacing w:after="0" w:line="275" w:lineRule="exact"/>
        <w:rPr>
          <w:sz w:val="20"/>
          <w:szCs w:val="20"/>
          <w:color w:val="auto"/>
        </w:rPr>
      </w:pPr>
    </w:p>
    <w:tbl>
      <w:tblPr>
        <w:tblLayout w:type="fixed"/>
        <w:tblInd w:w="4840" w:type="dxa"/>
        <w:tblCellMar>
          <w:top w:w="0" w:type="dxa"/>
          <w:left w:w="0" w:type="dxa"/>
          <w:bottom w:w="0" w:type="dxa"/>
          <w:right w:w="0" w:type="dxa"/>
        </w:tblCellMar>
      </w:tblP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Scott A. Schwartz</w:t>
            </w:r>
          </w:p>
        </w:tc>
      </w:tr>
      <w:tr>
        <w:trPr>
          <w:trHeight w:val="250"/>
        </w:trPr>
        <w:tc>
          <w:tcPr>
            <w:tcW w:w="780" w:type="dxa"/>
            <w:vAlign w:val="bottom"/>
          </w:tcPr>
          <w:p>
            <w:pPr>
              <w:spacing w:after="0"/>
              <w:rPr>
                <w:sz w:val="21"/>
                <w:szCs w:val="21"/>
                <w:color w:val="auto"/>
              </w:rPr>
            </w:pPr>
          </w:p>
        </w:tc>
        <w:tc>
          <w:tcPr>
            <w:tcW w:w="562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Scott A. Schwartz</w:t>
            </w:r>
          </w:p>
        </w:tc>
      </w:tr>
      <w:tr>
        <w:trPr>
          <w:trHeight w:val="270"/>
        </w:trPr>
        <w:tc>
          <w:tcPr>
            <w:tcW w:w="780" w:type="dxa"/>
            <w:vAlign w:val="bottom"/>
          </w:tcPr>
          <w:p>
            <w:pPr>
              <w:spacing w:after="0"/>
              <w:rPr>
                <w:sz w:val="23"/>
                <w:szCs w:val="23"/>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Group Vice President, Corporate</w:t>
            </w:r>
          </w:p>
        </w:tc>
      </w:tr>
      <w:tr>
        <w:trPr>
          <w:trHeight w:val="282"/>
        </w:trPr>
        <w:tc>
          <w:tcPr>
            <w:tcW w:w="78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Finance and Treasurer</w:t>
            </w:r>
          </w:p>
        </w:tc>
      </w:tr>
    </w:tbl>
    <w:p>
      <w:pPr>
        <w:spacing w:after="0" w:line="2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THE NEW GUARANTORS NAMED ON</w:t>
      </w:r>
    </w:p>
    <w:p>
      <w:pPr>
        <w:spacing w:after="0" w:line="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SCHEDULE I HERETO</w:t>
      </w:r>
    </w:p>
    <w:p>
      <w:pPr>
        <w:spacing w:after="0" w:line="27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By: Charter Communications, Inc.</w:t>
      </w:r>
    </w:p>
    <w:p>
      <w:pPr>
        <w:spacing w:after="0" w:line="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Its: Manager</w:t>
      </w:r>
    </w:p>
    <w:p>
      <w:pPr>
        <w:spacing w:after="0" w:line="275" w:lineRule="exact"/>
        <w:rPr>
          <w:sz w:val="20"/>
          <w:szCs w:val="20"/>
          <w:color w:val="auto"/>
        </w:rPr>
      </w:pPr>
    </w:p>
    <w:tbl>
      <w:tblPr>
        <w:tblLayout w:type="fixed"/>
        <w:tblInd w:w="4840" w:type="dxa"/>
        <w:tblCellMar>
          <w:top w:w="0" w:type="dxa"/>
          <w:left w:w="0" w:type="dxa"/>
          <w:bottom w:w="0" w:type="dxa"/>
          <w:right w:w="0" w:type="dxa"/>
        </w:tblCellMar>
      </w:tblP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Jennifer A. Smith</w:t>
            </w:r>
          </w:p>
        </w:tc>
      </w:tr>
      <w:tr>
        <w:trPr>
          <w:trHeight w:val="250"/>
        </w:trPr>
        <w:tc>
          <w:tcPr>
            <w:tcW w:w="780" w:type="dxa"/>
            <w:vAlign w:val="bottom"/>
          </w:tcPr>
          <w:p>
            <w:pPr>
              <w:spacing w:after="0"/>
              <w:rPr>
                <w:sz w:val="21"/>
                <w:szCs w:val="21"/>
                <w:color w:val="auto"/>
              </w:rPr>
            </w:pPr>
          </w:p>
        </w:tc>
        <w:tc>
          <w:tcPr>
            <w:tcW w:w="562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Jennifer A. Smith</w:t>
            </w:r>
          </w:p>
        </w:tc>
      </w:tr>
      <w:tr>
        <w:trPr>
          <w:trHeight w:val="270"/>
        </w:trPr>
        <w:tc>
          <w:tcPr>
            <w:tcW w:w="780" w:type="dxa"/>
            <w:vAlign w:val="bottom"/>
          </w:tcPr>
          <w:p>
            <w:pPr>
              <w:spacing w:after="0"/>
              <w:rPr>
                <w:sz w:val="23"/>
                <w:szCs w:val="23"/>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Vice President, Associate</w:t>
            </w:r>
          </w:p>
        </w:tc>
      </w:tr>
      <w:tr>
        <w:trPr>
          <w:trHeight w:val="270"/>
        </w:trPr>
        <w:tc>
          <w:tcPr>
            <w:tcW w:w="780" w:type="dxa"/>
            <w:vAlign w:val="bottom"/>
          </w:tcPr>
          <w:p>
            <w:pPr>
              <w:spacing w:after="0"/>
              <w:rPr>
                <w:sz w:val="23"/>
                <w:szCs w:val="23"/>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General Counsel and Assistant</w:t>
            </w:r>
          </w:p>
        </w:tc>
      </w:tr>
      <w:tr>
        <w:trPr>
          <w:trHeight w:val="282"/>
        </w:trPr>
        <w:tc>
          <w:tcPr>
            <w:tcW w:w="78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[Signature Page to Twenty-Third Supplemental Indenture]</w:t>
      </w:r>
    </w:p>
    <w:p>
      <w:pPr>
        <w:sectPr>
          <w:pgSz w:w="11900" w:h="16838" w:orient="portrait"/>
          <w:cols w:equalWidth="0" w:num="1">
            <w:col w:w="11240"/>
          </w:cols>
          <w:pgMar w:left="320" w:top="1408" w:right="339" w:bottom="1440" w:gutter="0" w:footer="0" w:header="0"/>
        </w:sectPr>
      </w:pPr>
    </w:p>
    <w:bookmarkStart w:id="113" w:name="page114"/>
    <w:bookmarkEnd w:id="113"/>
    <w:p>
      <w:pPr>
        <w:ind w:right="820" w:firstLine="756"/>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Twenty-Third Supplemental Indenture to be duly executed as of the date first above written.</w:t>
      </w:r>
    </w:p>
    <w:p>
      <w:pPr>
        <w:spacing w:after="0" w:line="200" w:lineRule="exact"/>
        <w:rPr>
          <w:sz w:val="20"/>
          <w:szCs w:val="20"/>
          <w:color w:val="auto"/>
        </w:rPr>
      </w:pPr>
    </w:p>
    <w:p>
      <w:pPr>
        <w:spacing w:after="0" w:line="26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TRUST COMPANY, N.A., as Trustee</w:t>
      </w:r>
    </w:p>
    <w:p>
      <w:pPr>
        <w:spacing w:after="0" w:line="275" w:lineRule="exact"/>
        <w:rPr>
          <w:sz w:val="20"/>
          <w:szCs w:val="20"/>
          <w:color w:val="auto"/>
        </w:rPr>
      </w:pPr>
    </w:p>
    <w:tbl>
      <w:tblPr>
        <w:tblLayout w:type="fixed"/>
        <w:tblInd w:w="4840" w:type="dxa"/>
        <w:tblCellMar>
          <w:top w:w="0" w:type="dxa"/>
          <w:left w:w="0" w:type="dxa"/>
          <w:bottom w:w="0" w:type="dxa"/>
          <w:right w:w="0" w:type="dxa"/>
        </w:tblCellMar>
      </w:tblP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Ann M. Dolezal</w:t>
            </w:r>
          </w:p>
        </w:tc>
      </w:tr>
      <w:tr>
        <w:trPr>
          <w:trHeight w:val="250"/>
        </w:trPr>
        <w:tc>
          <w:tcPr>
            <w:tcW w:w="780" w:type="dxa"/>
            <w:vAlign w:val="bottom"/>
          </w:tcPr>
          <w:p>
            <w:pPr>
              <w:spacing w:after="0"/>
              <w:rPr>
                <w:sz w:val="21"/>
                <w:szCs w:val="21"/>
                <w:color w:val="auto"/>
              </w:rPr>
            </w:pPr>
          </w:p>
        </w:tc>
        <w:tc>
          <w:tcPr>
            <w:tcW w:w="562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Ann M. Dolezal</w:t>
            </w:r>
          </w:p>
        </w:tc>
      </w:tr>
      <w:tr>
        <w:trPr>
          <w:trHeight w:val="282"/>
        </w:trPr>
        <w:tc>
          <w:tcPr>
            <w:tcW w:w="78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Vice President</w:t>
            </w:r>
          </w:p>
        </w:tc>
      </w:tr>
    </w:tbl>
    <w:p>
      <w:pPr>
        <w:spacing w:after="0" w:line="2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TRUST COMPANY, N.A., as Collateral Agent</w:t>
      </w:r>
    </w:p>
    <w:p>
      <w:pPr>
        <w:spacing w:after="0" w:line="275" w:lineRule="exact"/>
        <w:rPr>
          <w:sz w:val="20"/>
          <w:szCs w:val="20"/>
          <w:color w:val="auto"/>
        </w:rPr>
      </w:pPr>
    </w:p>
    <w:tbl>
      <w:tblPr>
        <w:tblLayout w:type="fixed"/>
        <w:tblInd w:w="4840" w:type="dxa"/>
        <w:tblCellMar>
          <w:top w:w="0" w:type="dxa"/>
          <w:left w:w="0" w:type="dxa"/>
          <w:bottom w:w="0" w:type="dxa"/>
          <w:right w:w="0" w:type="dxa"/>
        </w:tblCellMar>
      </w:tblP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Ann M. Dolezal</w:t>
            </w:r>
          </w:p>
        </w:tc>
      </w:tr>
      <w:tr>
        <w:trPr>
          <w:trHeight w:val="250"/>
        </w:trPr>
        <w:tc>
          <w:tcPr>
            <w:tcW w:w="780" w:type="dxa"/>
            <w:vAlign w:val="bottom"/>
          </w:tcPr>
          <w:p>
            <w:pPr>
              <w:spacing w:after="0"/>
              <w:rPr>
                <w:sz w:val="21"/>
                <w:szCs w:val="21"/>
                <w:color w:val="auto"/>
              </w:rPr>
            </w:pPr>
          </w:p>
        </w:tc>
        <w:tc>
          <w:tcPr>
            <w:tcW w:w="562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Ann M. Dolezal</w:t>
            </w:r>
          </w:p>
        </w:tc>
      </w:tr>
      <w:tr>
        <w:trPr>
          <w:trHeight w:val="282"/>
        </w:trPr>
        <w:tc>
          <w:tcPr>
            <w:tcW w:w="78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[Signature Page to Twenty-Third Supplemental Indenture]</w:t>
      </w:r>
    </w:p>
    <w:p>
      <w:pPr>
        <w:sectPr>
          <w:pgSz w:w="11900" w:h="16838" w:orient="portrait"/>
          <w:cols w:equalWidth="0" w:num="1">
            <w:col w:w="11240"/>
          </w:cols>
          <w:pgMar w:left="320" w:top="1408" w:right="339" w:bottom="1440" w:gutter="0" w:footer="0" w:header="0"/>
        </w:sectPr>
      </w:pPr>
    </w:p>
    <w:bookmarkStart w:id="114" w:name="page115"/>
    <w:bookmarkEnd w:id="114"/>
    <w:p>
      <w:pPr>
        <w:spacing w:after="0" w:line="46"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152"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21"/>
          <w:szCs w:val="21"/>
          <w:b w:val="1"/>
          <w:bCs w:val="1"/>
          <w:color w:val="auto"/>
        </w:rPr>
        <w:t>New Guarantors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Charter Communications ASC,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Charter Communications SSC,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I-1</w:t>
      </w:r>
    </w:p>
    <w:p>
      <w:pPr>
        <w:sectPr>
          <w:pgSz w:w="11900" w:h="16838" w:orient="portrait"/>
          <w:cols w:equalWidth="0" w:num="1">
            <w:col w:w="10019"/>
          </w:cols>
          <w:pgMar w:left="440" w:top="1440" w:right="1440"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10.74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EMPLOYMENT AGREEMENT</w:t>
      </w:r>
    </w:p>
    <w:p>
      <w:pPr>
        <w:spacing w:after="0" w:line="24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among Charter Communications,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Adam Ray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dated as of July 1, 2022.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it is the desire of the Company to assure itself of the continued services of Executive by continuing to engage Executive as its Executive Vice President, Chief Commercial Officer and the Executive desires to serve the Company on the terms herein provided;</w:t>
      </w:r>
    </w:p>
    <w:p>
      <w:pPr>
        <w:spacing w:after="0" w:line="20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WHEREAS, Executive and the Company are party to an employment agreement effective as of July 1, 2020 (the “</w:t>
      </w:r>
      <w:r>
        <w:rPr>
          <w:rFonts w:ascii="Times New Roman" w:cs="Times New Roman" w:eastAsia="Times New Roman" w:hAnsi="Times New Roman"/>
          <w:sz w:val="22"/>
          <w:szCs w:val="22"/>
          <w:u w:val="single" w:color="auto"/>
          <w:color w:val="auto"/>
        </w:rPr>
        <w:t>Prior Employment Agreement</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Executive and the Company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desire to enter into this Agreement, as an amendment and restatement of the Prior Employment Agreement in order for the Company and its affiliates to continue to engage the services of Executive and Executive desires to continue to serve the Company on the terms herein provided; and</w:t>
      </w:r>
    </w:p>
    <w:p>
      <w:pPr>
        <w:spacing w:after="0" w:line="20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Executive’s agreement to the terms and conditions of Sections 13, 14 and 15 are a material and essential condition of Executive’s employment with the Company under the terms of this Agreement.</w:t>
      </w:r>
    </w:p>
    <w:p>
      <w:pPr>
        <w:spacing w:after="0" w:line="19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set forth below, the Parties agree as follows:</w:t>
      </w:r>
    </w:p>
    <w:p>
      <w:pPr>
        <w:spacing w:after="0" w:line="185"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shall have the meaning set forth in Section 5.</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shall have the meaning set forth in Section 6.</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to terminate Executive’s employment hereunder upon:</w:t>
      </w:r>
    </w:p>
    <w:p>
      <w:pPr>
        <w:spacing w:after="0" w:line="246"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breach of a material obligation (which, if curable, is not cured within ten (10) business days after the Company provides written notice of such breach) or representation under this Agreement, Executive’s willful breach of any fiduciary duty to the Company, which, if curable, is not cured within ten (10) business days after the Company provides written notice of such breach; or any act of fraud or willful and material misrepresentation or concealment upon, to or from the Company or the Board;</w:t>
      </w:r>
    </w:p>
    <w:p>
      <w:pPr>
        <w:sectPr>
          <w:pgSz w:w="11900" w:h="16838" w:orient="portrait"/>
          <w:cols w:equalWidth="0" w:num="1">
            <w:col w:w="11240"/>
          </w:cols>
          <w:pgMar w:left="320" w:top="122" w:right="339" w:bottom="1440" w:gutter="0" w:footer="0" w:header="0"/>
        </w:sectPr>
      </w:pPr>
    </w:p>
    <w:bookmarkStart w:id="116" w:name="page117"/>
    <w:bookmarkEnd w:id="116"/>
    <w:p>
      <w:pPr>
        <w:spacing w:after="0" w:line="225" w:lineRule="exact"/>
        <w:rPr>
          <w:sz w:val="20"/>
          <w:szCs w:val="20"/>
          <w:color w:val="auto"/>
        </w:rPr>
      </w:pPr>
    </w:p>
    <w:p>
      <w:pPr>
        <w:jc w:val="both"/>
        <w:ind w:firstLine="1952"/>
        <w:spacing w:after="0" w:line="250" w:lineRule="auto"/>
        <w:tabs>
          <w:tab w:leader="none" w:pos="258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willful failure to comply in any material respect with (A) the Company’s Code of Conduct in effect from time to time and applicable to officers and/or employees generally, or (B) any written Company policy, if such policy is material to the effective performance by Executive of Executive’s duties under this Agreement, and, if such failure is curable, if Executive has been given a reasonable opportunity to cure this failure to comply within a period of time which is reasonable under the circumstances but not more than the thirty (30)-day period after written notice of such failure is provided to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Executive cures this failure and then fails again to comply with the same provision of the Code of Conduct or the same written Company policy, no further opportunity to cure that failure shall be required;</w:t>
      </w:r>
    </w:p>
    <w:p>
      <w:pPr>
        <w:spacing w:after="0" w:line="207" w:lineRule="exact"/>
        <w:rPr>
          <w:rFonts w:ascii="Times New Roman" w:cs="Times New Roman" w:eastAsia="Times New Roman" w:hAnsi="Times New Roman"/>
          <w:sz w:val="22"/>
          <w:szCs w:val="22"/>
          <w:color w:val="auto"/>
        </w:rPr>
      </w:pPr>
    </w:p>
    <w:p>
      <w:pPr>
        <w:ind w:right="20" w:firstLine="1952"/>
        <w:spacing w:after="0" w:line="284" w:lineRule="auto"/>
        <w:tabs>
          <w:tab w:leader="none" w:pos="259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misappropriation (or attempted misappropriation) of a material amount of the Company’s funds or property;</w:t>
      </w:r>
    </w:p>
    <w:p>
      <w:pPr>
        <w:spacing w:after="0" w:line="170"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conviction of, the entering of a guilty plea or plea of nolo contendere or no contest (or the equivalent), with respect to (A) either a felony or a crime that materially adversely affects or could reasonably be expected to materially adversely affect the Company or its business reputation; or (B) fraud, embezzlement, any felony offense involving dishonesty or constituting a breach of trust or moral turpitude;</w:t>
      </w:r>
    </w:p>
    <w:p>
      <w:pPr>
        <w:spacing w:after="0" w:line="20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admission of liability of, or finding of liability by a court of competent jurisdiction for, a knowing and deliberate violation of any “Securities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termination of Executive by the Company for Cause pursuant to this clause (v) based on finding of liability by the court shall be treated instead for all purposes of this Agreement as a termination by the Company without Cause, with effect as of the date of such termination, if such finding is reversed on appeal in a decision from which an appeal may not be taken or as to which the time to appeal has expired. As used herein, the term “Securities Laws” means any federal or state law, rule or regulation governing generally the issuance or exchange of securities, including without limitation the Securities Act of 1933, as amended, and the rules and regulations promulgated thereunder, the Securities Exchange Act of 1934, as amended, and the rules and regulations promulgated thereunder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illegal possession or use of any controlled substance or excessive use of alcohol, in each case at a work function, in connection with Executive’s duties, or on Company premises; “excessive” meaning either repeated unprofessional use or any single event of consumption giving rise to significant intoxication or unprofessional behavior; or</w:t>
      </w:r>
    </w:p>
    <w:p>
      <w:pPr>
        <w:spacing w:after="0" w:line="203"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or grossly negligent commission of any other act or willful failure to act in connection with Executive’s duties as an executive of the Company which causes or should reasonably be expected (as of the time of such occurrence) to cause substantial economic injury to or substantial injury to the business reputation of the Company, including, without limitation, any material violation of the Foreign Corrupt Practices Act, as described herein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17" w:name="page118"/>
    <w:bookmarkEnd w:id="117"/>
    <w:p>
      <w:pPr>
        <w:jc w:val="both"/>
        <w:spacing w:after="0" w:line="247" w:lineRule="auto"/>
        <w:rPr>
          <w:sz w:val="20"/>
          <w:szCs w:val="20"/>
          <w:color w:val="auto"/>
        </w:rPr>
      </w:pPr>
      <w:r>
        <w:rPr>
          <w:rFonts w:ascii="Times New Roman" w:cs="Times New Roman" w:eastAsia="Times New Roman" w:hAnsi="Times New Roman"/>
          <w:sz w:val="22"/>
          <w:szCs w:val="22"/>
          <w:color w:val="auto"/>
        </w:rPr>
        <w:t>No termination of Executive’s employment shall be effective as a termination for Cause for purposes of this Agreement or any other “Company Arrangement” (as defined in Section 11(f)) unless Executive shall first have been given written notice by the Board of its intention to terminate his employment for Cause, such notice (the “</w:t>
      </w:r>
      <w:r>
        <w:rPr>
          <w:rFonts w:ascii="Times New Roman" w:cs="Times New Roman" w:eastAsia="Times New Roman" w:hAnsi="Times New Roman"/>
          <w:sz w:val="22"/>
          <w:szCs w:val="22"/>
          <w:u w:val="single" w:color="auto"/>
          <w:color w:val="auto"/>
        </w:rPr>
        <w:t>Cause Notice</w:t>
      </w:r>
      <w:r>
        <w:rPr>
          <w:rFonts w:ascii="Times New Roman" w:cs="Times New Roman" w:eastAsia="Times New Roman" w:hAnsi="Times New Roman"/>
          <w:sz w:val="22"/>
          <w:szCs w:val="22"/>
          <w:color w:val="auto"/>
        </w:rPr>
        <w:t>”) to state in detail the particular circumstances that constitute the grounds on which the proposed termination for Cause is based. If, within twenty (20) calendar days after such Cause Notice is given to Executive, the Board gives written notice to Executive confirming that, in the judgment of at least a majority of the members of the Board, Cause for terminating his employment on the basis set forth in the original Cause Notice exists, his employment hereunder shall thereupon be terminated for Cause, subject to de novo review, at Executive’s election, through arbitration in accordance with Section 28. If Executive commits or is charged with committing any offense of the character or type specified in subparagraph 1(d)(iv), (v) or (vi) herein, then the Company at its option may suspend Executive with or without pay and such suspension shall not constitute “Good Reason” hereunder or for purposes of any other arrangement with the Company. If Executive subsequently is convicted of, pleads guilty or nolo contendere (or equivalent plea) to, any such offense, Executive shall immediately repay the after-tax amount of any compensation paid in cash hereunder from the date of the suspension. Notwithstanding anything to the contrary in any stock option or equity incentive plan or award agreement, all vesting and all lapsing of restrictions on restricted shares shall be tolled during the period of suspension and all unvested options and restricted shares for which the restrictions have not lapsed shall terminate and not be exercisable by or issued to Executive if during or after such suspension Executive is convicted of, pleads guilty or nolo contendere (or equivalent plea) to, any offense specified in subparagraph 1(d)(iv) or (v). However, if Executive is found not guilty of all offenses relating to his suspension, or the charges relating to all such offenses are otherwise dropped, Executive shall be entitled to immediate payment of any amounts not paid during the suspension and any awards as to which the vesting or lapsing of restrictions was tolled shall immediately vest and applicable restrictions shall immediately lapse.</w:t>
      </w:r>
    </w:p>
    <w:p>
      <w:pPr>
        <w:spacing w:after="0" w:line="220" w:lineRule="exact"/>
        <w:rPr>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shall mean the occurrence of any of the following events:</w:t>
      </w:r>
    </w:p>
    <w:p>
      <w:pPr>
        <w:spacing w:after="0" w:line="246" w:lineRule="exact"/>
        <w:rPr>
          <w:rFonts w:ascii="Times New Roman" w:cs="Times New Roman" w:eastAsia="Times New Roman" w:hAnsi="Times New Roman"/>
          <w:sz w:val="22"/>
          <w:szCs w:val="22"/>
          <w:color w:val="auto"/>
        </w:rPr>
      </w:pPr>
    </w:p>
    <w:p>
      <w:pPr>
        <w:jc w:val="both"/>
        <w:ind w:firstLine="1952"/>
        <w:spacing w:after="0" w:line="268" w:lineRule="auto"/>
        <w:tabs>
          <w:tab w:leader="none" w:pos="258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acquisition of any voting securities of the Company by any “Person” or “Group” (as those terms are used for purposes of Section 13(d) or 14(d) of the Exchange Act), immediately after which such Person has “Beneficial Ownership” (within the meaning of Rule 13d-3 promulgated under the Exchange Act) of thirty-five percent (35%) or more of the combined voting power of the Company’s then-outstanding voting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acquisition of voting securities in a “Non-Control Transaction” (as hereinafter defined) shall not constitute a Change of Control;</w:t>
      </w:r>
    </w:p>
    <w:p>
      <w:pPr>
        <w:spacing w:after="0" w:line="190" w:lineRule="exact"/>
        <w:rPr>
          <w:rFonts w:ascii="Times New Roman" w:cs="Times New Roman" w:eastAsia="Times New Roman" w:hAnsi="Times New Roman"/>
          <w:sz w:val="21"/>
          <w:szCs w:val="21"/>
          <w:color w:val="auto"/>
        </w:rPr>
      </w:pPr>
    </w:p>
    <w:p>
      <w:pPr>
        <w:jc w:val="both"/>
        <w:ind w:firstLine="1952"/>
        <w:spacing w:after="0" w:line="252" w:lineRule="auto"/>
        <w:tabs>
          <w:tab w:leader="none" w:pos="258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individuals who, as of the Effective Date, are members of the Board (the “</w:t>
      </w:r>
      <w:r>
        <w:rPr>
          <w:rFonts w:ascii="Times New Roman" w:cs="Times New Roman" w:eastAsia="Times New Roman" w:hAnsi="Times New Roman"/>
          <w:sz w:val="22"/>
          <w:szCs w:val="22"/>
          <w:u w:val="single" w:color="auto"/>
          <w:color w:val="auto"/>
        </w:rPr>
        <w:t>Incumbent Board</w:t>
      </w:r>
      <w:r>
        <w:rPr>
          <w:rFonts w:ascii="Times New Roman" w:cs="Times New Roman" w:eastAsia="Times New Roman" w:hAnsi="Times New Roman"/>
          <w:sz w:val="22"/>
          <w:szCs w:val="22"/>
          <w:color w:val="auto"/>
        </w:rPr>
        <w:t xml:space="preserve">”), cease for any reason to constitute a majority of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election, or nomination for election by the Company’s common stockholders, of any new director (excluding any director whose nomination or election to the Board is the result of any actual or threatened proxy contest or settlement thereof) was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18" w:name="page119"/>
    <w:bookmarkEnd w:id="118"/>
    <w:p>
      <w:pPr>
        <w:spacing w:after="0" w:line="271" w:lineRule="auto"/>
        <w:rPr>
          <w:sz w:val="20"/>
          <w:szCs w:val="20"/>
          <w:color w:val="auto"/>
        </w:rPr>
      </w:pPr>
      <w:r>
        <w:rPr>
          <w:rFonts w:ascii="Times New Roman" w:cs="Times New Roman" w:eastAsia="Times New Roman" w:hAnsi="Times New Roman"/>
          <w:sz w:val="22"/>
          <w:szCs w:val="22"/>
          <w:color w:val="auto"/>
        </w:rPr>
        <w:t>by a vote of at least a majority of the Incumbent Board, such new director shall, for purposes of this Agreement, be considered as a member of the Incumbent Board;</w:t>
      </w:r>
    </w:p>
    <w:p>
      <w:pPr>
        <w:spacing w:after="0" w:line="185" w:lineRule="exact"/>
        <w:rPr>
          <w:sz w:val="20"/>
          <w:szCs w:val="20"/>
          <w:color w:val="auto"/>
        </w:rPr>
      </w:pPr>
    </w:p>
    <w:p>
      <w:pPr>
        <w:jc w:val="both"/>
        <w:ind w:firstLine="1952"/>
        <w:spacing w:after="0" w:line="259" w:lineRule="auto"/>
        <w:tabs>
          <w:tab w:leader="none" w:pos="2592"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consolidation or reorganization with or into the Company or in which securities of the Company are issued (a “</w:t>
      </w:r>
      <w:r>
        <w:rPr>
          <w:rFonts w:ascii="Times New Roman" w:cs="Times New Roman" w:eastAsia="Times New Roman" w:hAnsi="Times New Roman"/>
          <w:sz w:val="21"/>
          <w:szCs w:val="21"/>
          <w:u w:val="single" w:color="auto"/>
          <w:color w:val="auto"/>
        </w:rPr>
        <w:t>Merger</w:t>
      </w:r>
      <w:r>
        <w:rPr>
          <w:rFonts w:ascii="Times New Roman" w:cs="Times New Roman" w:eastAsia="Times New Roman" w:hAnsi="Times New Roman"/>
          <w:sz w:val="21"/>
          <w:szCs w:val="21"/>
          <w:color w:val="auto"/>
        </w:rPr>
        <w:t>”), unless such Merger is a Non-Control Transaction. A “</w:t>
      </w:r>
      <w:r>
        <w:rPr>
          <w:rFonts w:ascii="Times New Roman" w:cs="Times New Roman" w:eastAsia="Times New Roman" w:hAnsi="Times New Roman"/>
          <w:sz w:val="21"/>
          <w:szCs w:val="21"/>
          <w:u w:val="single" w:color="auto"/>
          <w:color w:val="auto"/>
        </w:rPr>
        <w:t>Non-Control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shall mean a Merger where: (1) the stockholders of the Company immediately before such Merger own, directly or indirectly, immediately following such Merger more than fifty percent (50%) of the combined voting power of the outstanding voting securities of the entity resulting from such Merger or its controlling parent entity (the “</w:t>
      </w:r>
      <w:r>
        <w:rPr>
          <w:rFonts w:ascii="Times New Roman" w:cs="Times New Roman" w:eastAsia="Times New Roman" w:hAnsi="Times New Roman"/>
          <w:sz w:val="21"/>
          <w:szCs w:val="21"/>
          <w:u w:val="single" w:color="auto"/>
          <w:color w:val="auto"/>
        </w:rPr>
        <w:t>Surviving Entity</w:t>
      </w:r>
      <w:r>
        <w:rPr>
          <w:rFonts w:ascii="Times New Roman" w:cs="Times New Roman" w:eastAsia="Times New Roman" w:hAnsi="Times New Roman"/>
          <w:sz w:val="21"/>
          <w:szCs w:val="21"/>
          <w:color w:val="auto"/>
        </w:rPr>
        <w:t>”), (2) the individuals who were members of the Incumbent Board immediately prior to the execution of the agreement providing for such Merger constitute at least a majority of the members of the board of directors (or similar governing body) of the Surviving Entity, and (3) no Person other than (X) the Company, its subsidiaries or any entity controlling, controlled by or under common control with the Company (each such entity, an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or any of their respective employee benefit plans (or any trust forming a part thereof) that, immediately prior to such Merger, was maintained by the Company or any subsidiary or affiliate of the Company, or</w:t>
      </w:r>
    </w:p>
    <w:p>
      <w:pPr>
        <w:spacing w:after="0" w:line="10" w:lineRule="exact"/>
        <w:rPr>
          <w:rFonts w:ascii="Times New Roman" w:cs="Times New Roman" w:eastAsia="Times New Roman" w:hAnsi="Times New Roman"/>
          <w:sz w:val="21"/>
          <w:szCs w:val="21"/>
          <w:color w:val="auto"/>
        </w:rPr>
      </w:pPr>
    </w:p>
    <w:p>
      <w:pPr>
        <w:jc w:val="both"/>
        <w:ind w:firstLine="8"/>
        <w:spacing w:after="0" w:line="252" w:lineRule="auto"/>
        <w:tabs>
          <w:tab w:leader="none" w:pos="37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who, immediately prior to such Merger, had Beneficial Ownership of thirty-five percent (35%) or more of the then-outstanding voting securities of the Company, has Beneficial Ownership of thirty-five percent (35%) or more of the combined voting power of the outstanding voting securities or common stock of the Surviving Entity;</w:t>
      </w:r>
    </w:p>
    <w:p>
      <w:pPr>
        <w:spacing w:after="0" w:line="205"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by the holders of the Company’s then-outstanding voting securities of a complete liquidation or dissolution of the Company (other than where all or substantially all of assets of the Company are transferred to or remain with subsidiaries of the Company); or</w:t>
      </w:r>
    </w:p>
    <w:p>
      <w:pPr>
        <w:spacing w:after="0" w:line="199"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7"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of all or substantially all of the assets of the Company and its direct and indirect subsidiaries on a consolidated basis, directly or indirectly, to any Person (other than a transfer to an affiliate of the Company) unless such sale or disposition constitutes a Non-Control Transaction (with the disposition of assets being regarded as a Merger for this purpose).</w:t>
      </w:r>
    </w:p>
    <w:p>
      <w:pPr>
        <w:spacing w:after="0" w:line="203"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Notwithstanding the foregoing, a Change of Control shall not occur solely based on a filing of a Chapter 11 reorganization proceeding of the Company.</w:t>
      </w:r>
    </w:p>
    <w:p>
      <w:pPr>
        <w:spacing w:after="0" w:line="198" w:lineRule="exact"/>
        <w:rPr>
          <w:sz w:val="20"/>
          <w:szCs w:val="20"/>
          <w:color w:val="auto"/>
        </w:rPr>
      </w:pPr>
    </w:p>
    <w:p>
      <w:pPr>
        <w:ind w:firstLine="1304"/>
        <w:spacing w:after="0" w:line="271" w:lineRule="auto"/>
        <w:tabs>
          <w:tab w:leader="none" w:pos="19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from time to time, and the rules and regulations promulgated thereunder.</w:t>
      </w:r>
    </w:p>
    <w:p>
      <w:pPr>
        <w:spacing w:after="0" w:line="184"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either the Compensation and Benefits Committee of the Board, or a subcommittee of such Committee duly appointed by the Board or the Committee, or any successor to the functions thereof.</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have the meaning set forth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19" w:name="page120"/>
    <w:bookmarkEnd w:id="119"/>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Office</w:t>
      </w:r>
      <w:r>
        <w:rPr>
          <w:rFonts w:ascii="Times New Roman" w:cs="Times New Roman" w:eastAsia="Times New Roman" w:hAnsi="Times New Roman"/>
          <w:sz w:val="22"/>
          <w:szCs w:val="22"/>
          <w:color w:val="auto"/>
        </w:rPr>
        <w:t>” shall mean the Company’s offices in or near the metropolitan area of Stamford,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Connecticut.</w:t>
      </w:r>
    </w:p>
    <w:p>
      <w:pPr>
        <w:spacing w:after="0" w:line="223" w:lineRule="exact"/>
        <w:rPr>
          <w:sz w:val="20"/>
          <w:szCs w:val="20"/>
          <w:color w:val="auto"/>
        </w:rPr>
      </w:pPr>
    </w:p>
    <w:p>
      <w:pPr>
        <w:jc w:val="both"/>
        <w:ind w:firstLine="1304"/>
        <w:spacing w:after="0" w:line="251" w:lineRule="auto"/>
        <w:tabs>
          <w:tab w:leader="none" w:pos="193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shall mean (i) if Executive’s employment is terminated by Executive’s death, the date of Executive’s death and (ii) if Executive’s employment is terminated pursuant to Section 10(a)(ii)-(vi), the date of termination of employment as provided thereunder. After the Date of Termination, unless otherwise agreed by the Parties, Executive shall, to the extent necessary to avoid the imposition of penalty taxes under Section 409A of the Code, have no duties that are inconsistent with his having had a “separation from service” as of the Date of Termination for purposes of Section 409A of the Code.</w:t>
      </w:r>
    </w:p>
    <w:p>
      <w:pPr>
        <w:spacing w:after="0" w:line="221"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Executive will be deemed to have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due to illness, injury or a physical or medically recognized mental condition, (i) Executive is unable to perform Executive’s duties under this Agreement with reasonable accommodation for one hundred and twenty (120) consecutive calendar days, or one hundred and eighty (180) calendar days during any twelve (12)-month period, as determined in accordance with this Section 1(k), or (ii) Executive is considered disabled for purposes of receiving/qualifying for long-term disability benefits under any group long-term disability insurance plan or policy offered by the Company in which Executive participates. The Disability of Executive will be determined by a medical doctor selected by written agreement of the Company and Executive upon the request of either Party by notice to the other, or (in the case of and with respect to any applicable long-term disability insurance policy or plan) will be determined according to the terms of the applicable long-term disability insurance policy/plan. If the Company and Executive cannot agree on the selection of a medical doctor, each of them will select a medical doctor and the two medical doctors will select a third medical doctor who will determine whether Executive has a Disability. The determination of the medical doctor selected under this Section 1(k) will be binding on both Parties. Executive must submit to a reasonable number of examinations by the medical doctor making the determination of Disability under this Section 1(k), and to other specialists designated by such medical doctor, and Executive hereby authorizes the disclosure and release to the Company of such determination and all supporting medical records. If Executive is not legally competent, Executive’s legal guardian or duly authorized attorney-in-fact will act in Executive’s stead under this Section 1(k) for the purposes of submitting Executive to the examinations, and providing the authorization of disclosure, required under this Section 1(k).</w:t>
      </w:r>
    </w:p>
    <w:p>
      <w:pPr>
        <w:spacing w:after="0" w:line="21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July 1, 2022.</w:t>
      </w:r>
    </w:p>
    <w:p>
      <w:pPr>
        <w:spacing w:after="0" w:line="246"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 Effective Date</w:t>
      </w:r>
      <w:r>
        <w:rPr>
          <w:rFonts w:ascii="Times New Roman" w:cs="Times New Roman" w:eastAsia="Times New Roman" w:hAnsi="Times New Roman"/>
          <w:sz w:val="22"/>
          <w:szCs w:val="22"/>
          <w:color w:val="auto"/>
        </w:rPr>
        <w:t>” shall mean the date Executive’s employment with the Company or a predecessor commenced.</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shall have the meaning set forth in the preamble hereto.</w:t>
      </w:r>
    </w:p>
    <w:p>
      <w:pPr>
        <w:spacing w:after="0" w:line="24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any of the events described herein that occur without Executive’s prior written consent: (i) any reduction in Executive’s Annual Base Salary or Target Bonus; (ii) any failure to pay or provide Executive’s compensation hereunder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20" w:name="page121"/>
    <w:bookmarkEnd w:id="120"/>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due; (iii) any material breach by the Company of a material term of this Agreement; (iv) a material adverse change of Executive’s title, authorities, duties or responsibilities, including without limitation a transfer or reassignment to another executive of material responsibilities that have been assigned to Executive and generally are part of the responsibilities and functions assigned to an Executive Vice President, Chief Commercial Officer of a public corporation, or the appointment of another individual to the same or similar titles or position;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(iv) shall not apply following the delivery to Executive by the Company of a Non-renewal Notice at any time prior to a Change of Control and within one hundred ninety (190) days prior to the end of the term of this Agreement; (v) relocation of Executive’s primary workplace to a location that is more than fifty (50) miles from the Corporate Office (in each case of clauses (i) through (v) only if Executive objects to the Company in writing within ninety (90) calendar days after first becoming aware of such event and unless the Company retracts and/or rectifies the claimed Good Reason event within thirty (30) calendar days following receipt of such notice; or (vi) the failure of a successor to the business of the Company to assume the Company’s obligations under this Agreement in the event of a Change of Control during the Term.</w:t>
      </w:r>
    </w:p>
    <w:p>
      <w:pPr>
        <w:spacing w:after="0" w:line="203" w:lineRule="exact"/>
        <w:rPr>
          <w:sz w:val="20"/>
          <w:szCs w:val="20"/>
          <w:color w:val="auto"/>
        </w:rPr>
      </w:pPr>
    </w:p>
    <w:p>
      <w:pPr>
        <w:ind w:left="1940" w:hanging="636"/>
        <w:spacing w:after="0"/>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shall have the meaning set forth in Section 10(b).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Non-renewal Notice</w:t>
      </w:r>
      <w:r>
        <w:rPr>
          <w:rFonts w:ascii="Times New Roman" w:cs="Times New Roman" w:eastAsia="Times New Roman" w:hAnsi="Times New Roman"/>
          <w:sz w:val="22"/>
          <w:szCs w:val="22"/>
          <w:color w:val="auto"/>
        </w:rPr>
        <w:t>” shall have the meaning set forth in Section 2.</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have the meaning set forth in Sections 13(d) and 14(d)(2) of the Exchange Act.</w:t>
      </w:r>
    </w:p>
    <w:p>
      <w:pPr>
        <w:spacing w:after="0" w:line="260" w:lineRule="exact"/>
        <w:rPr>
          <w:rFonts w:ascii="Times New Roman" w:cs="Times New Roman" w:eastAsia="Times New Roman" w:hAnsi="Times New Roman"/>
          <w:sz w:val="22"/>
          <w:szCs w:val="22"/>
          <w:color w:val="auto"/>
        </w:rPr>
      </w:pPr>
    </w:p>
    <w:p>
      <w:pPr>
        <w:ind w:right="20" w:firstLine="1304"/>
        <w:spacing w:after="0" w:line="271" w:lineRule="auto"/>
        <w:tabs>
          <w:tab w:leader="none" w:pos="194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the Company’s 2019 Stock Incentive Plan, as amended by the Company from time to time, and any successor thereto.</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shall have the meaning set forth in Section 2.</w:t>
      </w:r>
    </w:p>
    <w:p>
      <w:pPr>
        <w:spacing w:after="0" w:line="246" w:lineRule="exact"/>
        <w:rPr>
          <w:rFonts w:ascii="Times New Roman" w:cs="Times New Roman" w:eastAsia="Times New Roman" w:hAnsi="Times New Roman"/>
          <w:sz w:val="22"/>
          <w:szCs w:val="22"/>
          <w:color w:val="auto"/>
        </w:rPr>
      </w:pPr>
    </w:p>
    <w:p>
      <w:pPr>
        <w:jc w:val="both"/>
        <w:ind w:firstLine="656"/>
        <w:spacing w:after="0" w:line="242" w:lineRule="auto"/>
        <w:tabs>
          <w:tab w:leader="none" w:pos="12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 The Company hereby continues to employ Executive, and Executive hereby accepts continued employment, under the terms and conditions hereof, for the period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beginning on the Effective Date and terminating upon the earlier of (i) the second anniversary of the Effective Date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and (ii) the Date of Termination as defined in Section 1(j). The Company may, in its sole discretion, extend the term of this Agreement for additional one (1)-year periods. If the Company fails to provide Executive with at least one hundred eighty (180) days’ notice prior to the end of the Initial Term or any extension thereof of the Company’s intent to not renew this Agreement (the “</w:t>
      </w:r>
      <w:r>
        <w:rPr>
          <w:rFonts w:ascii="Times New Roman" w:cs="Times New Roman" w:eastAsia="Times New Roman" w:hAnsi="Times New Roman"/>
          <w:sz w:val="22"/>
          <w:szCs w:val="22"/>
          <w:u w:val="single" w:color="auto"/>
          <w:color w:val="auto"/>
        </w:rPr>
        <w:t>Non-renewal Notice</w:t>
      </w:r>
      <w:r>
        <w:rPr>
          <w:rFonts w:ascii="Times New Roman" w:cs="Times New Roman" w:eastAsia="Times New Roman" w:hAnsi="Times New Roman"/>
          <w:sz w:val="22"/>
          <w:szCs w:val="22"/>
          <w:color w:val="auto"/>
        </w:rPr>
        <w:t>”), the Initial Term or any previous extension thereof shall be extended one day for each day past the one hundred eightieth (180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prior to the end of the Initial Term or any extension thereof on which a Non-renewal Notice is not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Company fails to provide any Non-renewal Notice and does not extend the term of this Agreement as of the last day of the Initial Term or any extension thereof, the Non-renewal Notice shall be deemed to have been given to Executive on the last day of the term of this Agreement.</w:t>
      </w:r>
    </w:p>
    <w:p>
      <w:pPr>
        <w:spacing w:after="0" w:line="21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21" w:name="page122"/>
    <w:bookmarkEnd w:id="121"/>
    <w:p>
      <w:pPr>
        <w:jc w:val="both"/>
        <w:ind w:firstLine="1304"/>
        <w:spacing w:after="0" w:line="251" w:lineRule="auto"/>
        <w:tabs>
          <w:tab w:leader="none" w:pos="194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shall serve as the Executive Vice President, Chief Commercial Officer of the Company; shall have the authorities, duties and responsibilities customarily exercised by an individual serving in those positions at an entity of the size and nature of the Company; shall be assigned no duties or responsibilities that are materially inconsistent with, or that materially impair his ability to discharge, the foregoing duties and responsibilities; shall have such additional duties and responsibilities (including service with affiliates of the Company) reasonably consistent with the foregoing, as may from time to time reasonably be assigned to him.</w:t>
      </w:r>
    </w:p>
    <w:p>
      <w:pPr>
        <w:spacing w:after="0" w:line="20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Term, Executive shall devote substantially all of his business time and efforts to the business and affairs of the Company. However, nothing in this Agreement shall preclude Executive from: (i) serving on the boards of a reasonable number of business entities, trade associations and charitable organizations, (ii) engaging in charitable activities and community affairs, (iii) accepting and fulfilling a reasonable number of speaking engagements, and (iv) managing his personal investments and affairs;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activities do not, either individually or in the aggregate, interfere with the proper performance of his duties and responsibilities hereunder; create a conflict of interest; or violate any provision of this Agreement;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service on the board of any business entity must be approved in advance by the Board.</w:t>
      </w:r>
    </w:p>
    <w:p>
      <w:pPr>
        <w:spacing w:after="0" w:line="20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of Performance</w:t>
      </w:r>
      <w:r>
        <w:rPr>
          <w:rFonts w:ascii="Times New Roman" w:cs="Times New Roman" w:eastAsia="Times New Roman" w:hAnsi="Times New Roman"/>
          <w:sz w:val="22"/>
          <w:szCs w:val="22"/>
          <w:color w:val="auto"/>
        </w:rPr>
        <w:t>. During the Term, Executive’s primary office and principal workplace shall be the Corporate Office, except for necessary travel on the Company’s business. The Parties acknowledge and Executive agrees that Executive is expected to commute to the Corporate Office from his principal or secondary residence whether inside or outside of the metropolitan area or areas in which the Corporate Office is located.</w:t>
      </w:r>
    </w:p>
    <w:p>
      <w:pPr>
        <w:spacing w:after="0" w:line="20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During the Term and beginning on the Effective Date, Executive shall receive a base salary at a rate not less than $625,000 per annum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xml:space="preserve">”), paid in accordance with the Company’s general payroll practices for executives, but no less frequently than monthly. The Annual Base Salary shall compensate Executive for any position in or directorship of a Company subsidiary or affiliate that Executive holds. No less frequently than annually during the Term, the Committee, on advice of the Company’s Chief Executive Officer, shall review the rate of Annual Base Salary payable to Executive, and may, in its discretion, increase the rate of Annual Base Salary payable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increased rate shall thereafter be the rate of “Annual Base Salary” hereunder.</w:t>
      </w:r>
    </w:p>
    <w:p>
      <w:pPr>
        <w:spacing w:after="0" w:line="22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Except as otherwise provided for herein, for each fiscal year or other period consistent with the Company’s then-applicable normal employment practices during which Executive is employed hereunder on the last day (the “</w:t>
      </w:r>
      <w:r>
        <w:rPr>
          <w:rFonts w:ascii="Times New Roman" w:cs="Times New Roman" w:eastAsia="Times New Roman" w:hAnsi="Times New Roman"/>
          <w:sz w:val="22"/>
          <w:szCs w:val="22"/>
          <w:u w:val="single" w:color="auto"/>
          <w:color w:val="auto"/>
        </w:rPr>
        <w:t>Bonus Year</w:t>
      </w:r>
      <w:r>
        <w:rPr>
          <w:rFonts w:ascii="Times New Roman" w:cs="Times New Roman" w:eastAsia="Times New Roman" w:hAnsi="Times New Roman"/>
          <w:sz w:val="22"/>
          <w:szCs w:val="22"/>
          <w:color w:val="auto"/>
        </w:rPr>
        <w:t>”), Executive shall be eligible to receive a bonus with a target amount not less than 150% of Executive’s Annual Base Salary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with the actual bonus payout depending on the achievement of levels of performance for that year (the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pursuant to, and as set forth in, the terms of the Company’s Executive Bonus Plan as it may be amended from time to time, plus such other bonus payments, if any, as shall be determined by the Committee in its sole discretion, with such bonuses being paid on or before March 15 of the calendar year next following the Bonus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22" w:name="page123"/>
    <w:bookmarkEnd w:id="122"/>
    <w:p>
      <w:pPr>
        <w:spacing w:after="0" w:line="225" w:lineRule="exact"/>
        <w:rPr>
          <w:sz w:val="20"/>
          <w:szCs w:val="20"/>
          <w:color w:val="auto"/>
        </w:rPr>
      </w:pPr>
    </w:p>
    <w:p>
      <w:pPr>
        <w:jc w:val="both"/>
        <w:ind w:firstLine="656"/>
        <w:spacing w:after="0" w:line="256" w:lineRule="auto"/>
        <w:tabs>
          <w:tab w:leader="none" w:pos="129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Executive shall be entitled to receive such benefits and to participate in such employee group benefit plans, including life, health and disability insurance policies, and financial planning services, and other perquisites and plans as are generally provided by the Company to its other senior executives in accordance with the plans, practices and programs of the Company, as amended and in effect from time to time.</w:t>
      </w:r>
    </w:p>
    <w:p>
      <w:pPr>
        <w:spacing w:after="0" w:line="203"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shall promptly reimburse Executive for all reasonable and necessary expenses incurred by Executive in connection with the performance of Executive’s duties as an employee of the Company. Such reimbursement is subject to the submission to the Company by Executive of appropriate documentation and/or vouchers in accordance with the customary procedures of the Company for expense reimbursement, as such procedures may be revised by the Company from time to time hereafter.</w:t>
      </w:r>
    </w:p>
    <w:p>
      <w:pPr>
        <w:spacing w:after="0" w:line="205"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Vacations</w:t>
      </w:r>
      <w:r>
        <w:rPr>
          <w:rFonts w:ascii="Times New Roman" w:cs="Times New Roman" w:eastAsia="Times New Roman" w:hAnsi="Times New Roman"/>
          <w:sz w:val="22"/>
          <w:szCs w:val="22"/>
          <w:color w:val="auto"/>
        </w:rPr>
        <w:t xml:space="preserve">. Executive shall be entitled to paid vacation in accordance with the Company’s vacation policy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Executive be entitled to less than four (4) weeks of paid vacation per calendar year. Executive shall also be entitled to paid holidays and personal days in accordance with the Company’s practice with respect to same as in effect from time to time.</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right="20" w:firstLine="1304"/>
        <w:spacing w:after="0" w:line="271" w:lineRule="auto"/>
        <w:tabs>
          <w:tab w:leader="none" w:pos="1941"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employment hereunder may be terminated by the Company, on the one hand, or Executive, on the other hand, as applicable, without any breach of this Agreement, under the following circumstances:</w:t>
      </w:r>
    </w:p>
    <w:p>
      <w:pPr>
        <w:spacing w:after="0" w:line="184"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3"/>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hereunder shall automatically terminate upon Executive’s death.</w:t>
      </w:r>
    </w:p>
    <w:p>
      <w:pPr>
        <w:spacing w:after="0" w:line="246" w:lineRule="exact"/>
        <w:rPr>
          <w:rFonts w:ascii="Times New Roman" w:cs="Times New Roman" w:eastAsia="Times New Roman" w:hAnsi="Times New Roman"/>
          <w:sz w:val="22"/>
          <w:szCs w:val="22"/>
          <w:color w:val="auto"/>
        </w:rPr>
      </w:pPr>
    </w:p>
    <w:p>
      <w:pPr>
        <w:jc w:val="both"/>
        <w:ind w:firstLine="1952"/>
        <w:spacing w:after="0" w:line="237" w:lineRule="auto"/>
        <w:tabs>
          <w:tab w:leader="none" w:pos="2586" w:val="left"/>
        </w:tabs>
        <w:numPr>
          <w:ilvl w:val="3"/>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Executive has incurred a Disability, the Company may give Executive written notice of its intention to terminate Executive’s employment. In such event, Executive’s employment with the Company shall terminate effective on the fourteenth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after delivery of such notice to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within the fourteen (14) calendar days after such delivery, Executive shall not have returned to full time performance of Executive’s duties. Executive may provide notice to the Company of Executive’s resignation on account of a Disability at any time.</w:t>
      </w:r>
    </w:p>
    <w:p>
      <w:pPr>
        <w:spacing w:after="0" w:line="221" w:lineRule="exact"/>
        <w:rPr>
          <w:rFonts w:ascii="Times New Roman" w:cs="Times New Roman" w:eastAsia="Times New Roman" w:hAnsi="Times New Roman"/>
          <w:sz w:val="22"/>
          <w:szCs w:val="22"/>
          <w:color w:val="auto"/>
        </w:rPr>
      </w:pPr>
    </w:p>
    <w:p>
      <w:pPr>
        <w:ind w:right="20" w:firstLine="1952"/>
        <w:spacing w:after="0" w:line="271" w:lineRule="auto"/>
        <w:tabs>
          <w:tab w:leader="none" w:pos="2592" w:val="left"/>
        </w:tabs>
        <w:numPr>
          <w:ilvl w:val="3"/>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The Company may terminate Executive’s employment hereunder for Cause effective immediately upon delivery of notice to Executive, after complying with any procedural requirements set forth in Section 1(d).</w:t>
      </w:r>
    </w:p>
    <w:p>
      <w:pPr>
        <w:spacing w:after="0" w:line="198"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3"/>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Executive may terminate Executive’s employment herein with Good Reason upon</w:t>
      </w:r>
    </w:p>
    <w:p>
      <w:pPr>
        <w:spacing w:after="0" w:line="27" w:lineRule="exact"/>
        <w:rPr>
          <w:rFonts w:ascii="Times New Roman" w:cs="Times New Roman" w:eastAsia="Times New Roman" w:hAnsi="Times New Roman"/>
          <w:sz w:val="22"/>
          <w:szCs w:val="22"/>
          <w:color w:val="auto"/>
        </w:rPr>
      </w:pPr>
    </w:p>
    <w:p>
      <w:pPr>
        <w:ind w:firstLine="8"/>
        <w:spacing w:after="0" w:line="248" w:lineRule="auto"/>
        <w:tabs>
          <w:tab w:leader="none" w:pos="36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satisfaction of any advance notice and other procedural requirements set forth in Section 1(o) for any termination following an event described in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71" w:lineRule="auto"/>
        <w:rPr>
          <w:sz w:val="20"/>
          <w:szCs w:val="20"/>
          <w:color w:val="auto"/>
        </w:rPr>
      </w:pPr>
      <w:r>
        <w:rPr>
          <w:rFonts w:ascii="Times New Roman" w:cs="Times New Roman" w:eastAsia="Times New Roman" w:hAnsi="Times New Roman"/>
          <w:sz w:val="22"/>
          <w:szCs w:val="22"/>
          <w:color w:val="auto"/>
        </w:rPr>
        <w:t>Sections 1(o)(i) through (v), or (B) at least thirty (30) calendar days’ advance written notice by Executive for any termination following an event described in Section 1(o)(vi).</w:t>
      </w:r>
    </w:p>
    <w:p>
      <w:pPr>
        <w:spacing w:after="0" w:line="185" w:lineRule="exact"/>
        <w:rPr>
          <w:sz w:val="20"/>
          <w:szCs w:val="20"/>
          <w:color w:val="auto"/>
        </w:rPr>
      </w:pPr>
    </w:p>
    <w:p>
      <w:pPr>
        <w:ind w:right="20" w:firstLine="1952"/>
        <w:spacing w:after="0" w:line="284" w:lineRule="auto"/>
        <w:tabs>
          <w:tab w:leader="none" w:pos="2587"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Without Cause</w:t>
      </w:r>
      <w:r>
        <w:rPr>
          <w:rFonts w:ascii="Times New Roman" w:cs="Times New Roman" w:eastAsia="Times New Roman" w:hAnsi="Times New Roman"/>
          <w:sz w:val="22"/>
          <w:szCs w:val="22"/>
          <w:color w:val="auto"/>
        </w:rPr>
        <w:t>. The Company may terminate Executive’s employment hereunder without Cause upon at least thirty (30) calendar days’ advance written notice to Executive.</w:t>
      </w:r>
    </w:p>
    <w:p>
      <w:pPr>
        <w:spacing w:after="0" w:line="170"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Without Good Reason</w:t>
      </w:r>
      <w:r>
        <w:rPr>
          <w:rFonts w:ascii="Times New Roman" w:cs="Times New Roman" w:eastAsia="Times New Roman" w:hAnsi="Times New Roman"/>
          <w:sz w:val="22"/>
          <w:szCs w:val="22"/>
          <w:color w:val="auto"/>
        </w:rPr>
        <w:t>. Executive may resign Executive’s employment without Good Reason upon at least thirty (30) calendar days’ advance written notice to the Company.</w:t>
      </w:r>
    </w:p>
    <w:p>
      <w:pPr>
        <w:spacing w:after="0" w:line="18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Executive’s employment by the Company or by Executive under this Section 10 (other than pursuant to Section 10(a)(i)) shall be communicated by a written notice (the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to the other Party hereto, indicating the specific termination provision in this Agreement relied upon, setting forth in reasonable detail any facts and circumstances claimed to provide a basis for termination of Executive’s employment under the provision so indicated, and specifying a Date of Termination, which notice shall be delivered within the applicable time periods set forth in subsections 10(a)(ii)-(vi) (the “</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earlier terminate Executive’s employment during such Notice Period and pay to Executive all Annual Base Salary, benefits and other rights due to Executive under this Agreement during such Notice Period (as if Executive continued employment) instead of employing Executive during such Notice Period.</w:t>
      </w:r>
    </w:p>
    <w:p>
      <w:pPr>
        <w:spacing w:after="0" w:line="20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from Representational Capacities</w:t>
      </w:r>
      <w:r>
        <w:rPr>
          <w:rFonts w:ascii="Times New Roman" w:cs="Times New Roman" w:eastAsia="Times New Roman" w:hAnsi="Times New Roman"/>
          <w:sz w:val="22"/>
          <w:szCs w:val="22"/>
          <w:color w:val="auto"/>
        </w:rPr>
        <w:t>. Executive hereby acknowledges and agrees that upon Executive’s termination of employment with the Company for whatever reason, Executive shall be deemed to have, and shall have in fact, effectively resigned from all executive, director, offices, or other positions with the Company or its affiliates at the time of such termination of employment, and shall return all property owned by the Company and in Executive’s possession, including all hardware, files and documents, at that time. Nothing in this Agreement or elsewhere shall prevent Executive from retaining and utilizing copies of benefits plans and programs in which he retains an interest or other documents relating to his personal entitlements and obligations, his desk calendars, his rolodex, and the like, or such other records and documents as may reasonably be approved by the Company.</w:t>
      </w:r>
    </w:p>
    <w:p>
      <w:pPr>
        <w:spacing w:after="0" w:line="20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in Connection with Change of Control</w:t>
      </w:r>
      <w:r>
        <w:rPr>
          <w:rFonts w:ascii="Times New Roman" w:cs="Times New Roman" w:eastAsia="Times New Roman" w:hAnsi="Times New Roman"/>
          <w:sz w:val="22"/>
          <w:szCs w:val="22"/>
          <w:color w:val="auto"/>
        </w:rPr>
        <w:t>. If (i) Executive’s employment is terminated by the Company without Cause upon, within thirty (30) calendar days before, or within thirteen (13) months after, a Change of Control, or prior to a Change of Control at the request of a prospective purchaser whose proposed purchase would constitute a Change of Control upon its completion, such termination shall be deemed to have occurred immediately before such Change of Control for purposes of Section 11(b) of this Agreement and the Plan, or (ii) Executive’s employment terminates for any reason at the end of the Term following the delivery or deemed delivery to Executive of a Non-renewal Notice upon, within thirty (30) calendar days before, or within thirteen (13) months after, a Change of Control, or prior to a Change of Control at the request of such a prospective purchaser, such termination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24" w:name="page125"/>
    <w:bookmarkEnd w:id="124"/>
    <w:p>
      <w:pPr>
        <w:ind w:right="20"/>
        <w:spacing w:after="0" w:line="271" w:lineRule="auto"/>
        <w:rPr>
          <w:sz w:val="20"/>
          <w:szCs w:val="20"/>
          <w:color w:val="auto"/>
        </w:rPr>
      </w:pPr>
      <w:r>
        <w:rPr>
          <w:rFonts w:ascii="Times New Roman" w:cs="Times New Roman" w:eastAsia="Times New Roman" w:hAnsi="Times New Roman"/>
          <w:sz w:val="22"/>
          <w:szCs w:val="22"/>
          <w:color w:val="auto"/>
        </w:rPr>
        <w:t>deemed to be by the Company without Cause and shall be deemed to have occurred immediately before such Change of Control for purposes of Section 11(b) of this Agreement and the Plan.</w:t>
      </w:r>
    </w:p>
    <w:p>
      <w:pPr>
        <w:spacing w:after="0" w:line="185" w:lineRule="exact"/>
        <w:rPr>
          <w:sz w:val="20"/>
          <w:szCs w:val="20"/>
          <w:color w:val="auto"/>
        </w:rPr>
      </w:pPr>
    </w:p>
    <w:p>
      <w:pPr>
        <w:ind w:left="1300" w:hanging="644"/>
        <w:spacing w:after="0"/>
        <w:tabs>
          <w:tab w:leader="none" w:pos="130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Pay</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1"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upon the termination of Executive’s employment, the Company will be obligated to pay Executive (or, in the event of Executive’s death, Executive’s designated beneficiary as defined below) only such compensation as is provided in this Section 11, except to the extent otherwise provided for in any Company stock incentive, stock option or cash award plan (including, among others, the Plan and the award agreements applicable thereunder). For purposes of this Section 11, Executive’s designated beneficiary will be such individual beneficiary or trust, located at such address, as Executive may designate by notice to the Company from time to time or, if Executive fails to give notice to the Company of such a beneficiary, Executive’s estate. Notwithstanding the preceding sentence, the Company will have no duty, in any circumstances, to attempt to open an estate on behalf of Executive, to determine whether any beneficiary designated by Executive is alive or to ascertain the address of any such beneficiary, to determine the existence of any trust, to determine whether any person purporting to act as Executive’s personal representative (or the trustee of a trust established by Executive) is duly authorized to act in that capacity, or to locate or attempt to locate any beneficiary, personal representative, or trustee.</w:t>
      </w:r>
    </w:p>
    <w:p>
      <w:pPr>
        <w:spacing w:after="0" w:line="22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9" w:val="left"/>
        </w:tabs>
        <w:numPr>
          <w:ilvl w:val="2"/>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Executive with Good Reason or by Company without Cause</w:t>
      </w:r>
      <w:r>
        <w:rPr>
          <w:rFonts w:ascii="Times New Roman" w:cs="Times New Roman" w:eastAsia="Times New Roman" w:hAnsi="Times New Roman"/>
          <w:sz w:val="21"/>
          <w:szCs w:val="21"/>
          <w:color w:val="auto"/>
        </w:rPr>
        <w:t>. If prior to expiration of the Term, Executive terminates his employment with Good Reason, or if the Company terminates Executive’s employment other than for Cause and other than for death or Disability, Executive will be entitled to receive: (i) all Annual Base Salary earned and duly payable for periods ending on or prior to the Date of Termination but unpaid as of the Date of Termination and all accrued but unused vacation days at his per-business-day rate of Annual Base Salary in effect as of the Date of Termination, which amounts shall be paid in cash in a lump sum no later than ten (10) business days following the Date of Termination; (ii) all reasonable expenses incurred by Executive through the Date of Termination that are reimbursable in accordance with Section 8, which amount shall be paid in cash within thirty (30) calendar days after the submission by Executive of receipts; and (iii) all Bonuses earned and duly payable for periods ending on or prior to the Date of Termination but unpaid as of the Date of Termination, which amounts shall be paid in cash in a lump sum no later than sixty (60) calendar days following the Date of Termination (such amounts in clauses (i), (ii) and (iii) together, the “</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If Executive signs and delivers to the Company and does not (within the applicable revocation period) revoke the Release (as defined in Section 11(g)) within sixty</w:t>
      </w:r>
    </w:p>
    <w:p>
      <w:pPr>
        <w:spacing w:after="0" w:line="1" w:lineRule="exact"/>
        <w:rPr>
          <w:rFonts w:ascii="Times New Roman" w:cs="Times New Roman" w:eastAsia="Times New Roman" w:hAnsi="Times New Roman"/>
          <w:sz w:val="21"/>
          <w:szCs w:val="21"/>
          <w:color w:val="auto"/>
        </w:rPr>
      </w:pPr>
    </w:p>
    <w:p>
      <w:pPr>
        <w:ind w:firstLine="8"/>
        <w:spacing w:after="0" w:line="248" w:lineRule="auto"/>
        <w:tabs>
          <w:tab w:leader="none" w:pos="43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days following the Date of Termination, Executive shall also be entitled to receive the following payments and benefits in consideration for Executive abiding by the obligations set forth in Sections 13, 14 and 15:</w:t>
      </w:r>
    </w:p>
    <w:p>
      <w:pPr>
        <w:spacing w:after="0" w:line="209" w:lineRule="exact"/>
        <w:rPr>
          <w:sz w:val="20"/>
          <w:szCs w:val="20"/>
          <w:color w:val="auto"/>
        </w:rPr>
      </w:pPr>
    </w:p>
    <w:p>
      <w:pPr>
        <w:jc w:val="both"/>
        <w:ind w:left="1960" w:hanging="656"/>
        <w:spacing w:after="0" w:line="263" w:lineRule="auto"/>
        <w:tabs>
          <w:tab w:leader="none" w:pos="194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2.0 times the sum of Executive’s (x) Annual Base Salary and (y) Target Bonus for the calendar year in which the Date of Termination occurs, which amount shall (subject to Section 31(a)) be paid in substantially equal installments in accordance with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25" w:name="page126"/>
    <w:bookmarkEnd w:id="125"/>
    <w:p>
      <w:pPr>
        <w:ind w:left="1960"/>
        <w:spacing w:after="0"/>
        <w:rPr>
          <w:sz w:val="20"/>
          <w:szCs w:val="20"/>
          <w:color w:val="auto"/>
        </w:rPr>
      </w:pPr>
      <w:r>
        <w:rPr>
          <w:rFonts w:ascii="Times New Roman" w:cs="Times New Roman" w:eastAsia="Times New Roman" w:hAnsi="Times New Roman"/>
          <w:sz w:val="21"/>
          <w:szCs w:val="21"/>
          <w:color w:val="auto"/>
        </w:rPr>
        <w:t>normal payroll practices in effect from time to time commencing with the first payroll date more than sixty</w:t>
      </w:r>
    </w:p>
    <w:p>
      <w:pPr>
        <w:spacing w:after="0" w:line="39" w:lineRule="exact"/>
        <w:rPr>
          <w:sz w:val="20"/>
          <w:szCs w:val="20"/>
          <w:color w:val="auto"/>
        </w:rPr>
      </w:pPr>
    </w:p>
    <w:p>
      <w:pPr>
        <w:jc w:val="both"/>
        <w:ind w:left="1960" w:hanging="8"/>
        <w:spacing w:after="0" w:line="247" w:lineRule="auto"/>
        <w:tabs>
          <w:tab w:leader="none" w:pos="238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calendar days following the Date of Termination and ending twenty-four (24) months and sixty (60) days following the Date of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Change of Control occurs during the twenty-four (24) month period after the Date of Termination (or is deemed pursuant to Section 10(d) to have occurred immediately after such Date of Termination) and such Change of Control qualifies either as a “change in the ownership or effective control” of the Company or a “change in the ownership of a substantial portion of the assets” of the Company within the meaning of Section 409A of the Code, any amounts remaining payable to Executive hereunder shall be paid in a single lump sum immediately upon such Change of Control;</w:t>
      </w:r>
    </w:p>
    <w:p>
      <w:pPr>
        <w:spacing w:after="0" w:line="215" w:lineRule="exact"/>
        <w:rPr>
          <w:rFonts w:ascii="Times New Roman" w:cs="Times New Roman" w:eastAsia="Times New Roman" w:hAnsi="Times New Roman"/>
          <w:sz w:val="22"/>
          <w:szCs w:val="22"/>
          <w:color w:val="auto"/>
        </w:rPr>
      </w:pPr>
    </w:p>
    <w:p>
      <w:pPr>
        <w:jc w:val="both"/>
        <w:ind w:left="1960" w:hanging="656"/>
        <w:spacing w:after="0" w:line="251" w:lineRule="auto"/>
        <w:tabs>
          <w:tab w:leader="none" w:pos="195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(in an amount net of any taxes deducted and other required withholdings) equal to twenty-four (24) times the monthly cost (as of the Date of Termination) for Executive to receive continued coverage under COBRA for health, dental and vision benefits then being provided for Executive at the Company’s cost on the Date of Termination. This amount will be paid on the first payroll date immediately following the thirty (30)-calendar-day anniversary of the Date of Termination and will not take into account increases in coverage costs after the Date of Termination; and</w:t>
      </w:r>
    </w:p>
    <w:p>
      <w:pPr>
        <w:spacing w:after="0" w:line="208"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5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up to twelve (12) months, or until Executive obtains new employment if sooner, executive-level outplacement services (which provides as part of the outplacement services the use of an office and secretarial support as near as reasonably practicable to Executive’s residence).</w:t>
      </w:r>
    </w:p>
    <w:p>
      <w:pPr>
        <w:spacing w:after="0" w:line="200" w:lineRule="exact"/>
        <w:rPr>
          <w:sz w:val="20"/>
          <w:szCs w:val="20"/>
          <w:color w:val="auto"/>
        </w:rPr>
      </w:pPr>
    </w:p>
    <w:p>
      <w:pPr>
        <w:jc w:val="both"/>
        <w:ind w:firstLine="1304"/>
        <w:spacing w:after="0" w:line="256"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Executive shall not be required to mitigate the amount of any payments provided in this Section 11 by seeking other employment or otherwise, nor shall the amount of any payment provided for in this Section 11 be reduced by any compensation earned by Executive as a result of employment by another company or business, or by profits earned by Executive from any other source at any time before or after the Date of Termination.</w:t>
      </w:r>
    </w:p>
    <w:p>
      <w:pPr>
        <w:spacing w:after="0" w:line="203" w:lineRule="exact"/>
        <w:rPr>
          <w:rFonts w:ascii="Times New Roman" w:cs="Times New Roman" w:eastAsia="Times New Roman" w:hAnsi="Times New Roman"/>
          <w:sz w:val="22"/>
          <w:szCs w:val="22"/>
          <w:color w:val="auto"/>
        </w:rPr>
      </w:pPr>
    </w:p>
    <w:p>
      <w:pPr>
        <w:jc w:val="both"/>
        <w:ind w:firstLine="1304"/>
        <w:spacing w:after="0" w:line="255" w:lineRule="auto"/>
        <w:tabs>
          <w:tab w:leader="none" w:pos="1939"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Executive without Good Reason or by Company for Cause</w:t>
      </w:r>
      <w:r>
        <w:rPr>
          <w:rFonts w:ascii="Times New Roman" w:cs="Times New Roman" w:eastAsia="Times New Roman" w:hAnsi="Times New Roman"/>
          <w:sz w:val="22"/>
          <w:szCs w:val="22"/>
          <w:color w:val="auto"/>
        </w:rPr>
        <w:t>. If, prior to the expiration of the Term, Executive terminates Executive’s employment without Good Reason or if the Company terminates Executive’s employment for Cause, Executive shall be entitled to receive the Accrued Obligations at the times set forth in Sections 11(b)(i),</w:t>
      </w:r>
    </w:p>
    <w:p>
      <w:pPr>
        <w:ind w:right="20" w:firstLine="8"/>
        <w:spacing w:after="0" w:line="248" w:lineRule="auto"/>
        <w:tabs>
          <w:tab w:leader="none" w:pos="35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(iii), respectively, and Executive shall be entitled to no other compensation, bonus, payments or benefits except as expressly provided in this Section 11(d) or Section 11(f) below.</w:t>
      </w:r>
    </w:p>
    <w:p>
      <w:pPr>
        <w:spacing w:after="0" w:line="209"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upon Disability or Death</w:t>
      </w:r>
      <w:r>
        <w:rPr>
          <w:rFonts w:ascii="Times New Roman" w:cs="Times New Roman" w:eastAsia="Times New Roman" w:hAnsi="Times New Roman"/>
          <w:sz w:val="22"/>
          <w:szCs w:val="22"/>
          <w:color w:val="auto"/>
        </w:rPr>
        <w:t>. If Executive’s employment shall terminate by reason of Executive’s Disability (pursuant to Section 10(a)(ii)) or death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26" w:name="page127"/>
    <w:bookmarkEnd w:id="126"/>
    <w:p>
      <w:pPr>
        <w:jc w:val="both"/>
        <w:spacing w:after="0" w:line="253" w:lineRule="auto"/>
        <w:rPr>
          <w:sz w:val="20"/>
          <w:szCs w:val="20"/>
          <w:color w:val="auto"/>
        </w:rPr>
      </w:pPr>
      <w:r>
        <w:rPr>
          <w:rFonts w:ascii="Times New Roman" w:cs="Times New Roman" w:eastAsia="Times New Roman" w:hAnsi="Times New Roman"/>
          <w:sz w:val="22"/>
          <w:szCs w:val="22"/>
          <w:color w:val="auto"/>
        </w:rPr>
        <w:t>Section 10(a)(i)), the Company shall pay to Executive or Executive’s estate (as applicable) the Accrued Obligations at the times set forth in Sections 11(b)(i), (ii) and (iii), respectively. In the case of Disability, if there is a period of time during which Executive is not being paid Annual Base Salary and not receiving long-term disability insurance payments, the Company shall (subject to Section 31(a)) make interim payments to Executive equal to such unpaid disability insurance payments until the commencement of disability insurance payments.</w:t>
      </w:r>
    </w:p>
    <w:p>
      <w:pPr>
        <w:spacing w:after="0" w:line="206" w:lineRule="exact"/>
        <w:rPr>
          <w:sz w:val="20"/>
          <w:szCs w:val="20"/>
          <w:color w:val="auto"/>
        </w:rPr>
      </w:pPr>
    </w:p>
    <w:p>
      <w:pPr>
        <w:jc w:val="both"/>
        <w:ind w:firstLine="1304"/>
        <w:spacing w:after="0" w:line="253" w:lineRule="auto"/>
        <w:tabs>
          <w:tab w:leader="none" w:pos="194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 on Any Termination.</w:t>
      </w:r>
      <w:r>
        <w:rPr>
          <w:rFonts w:ascii="Times New Roman" w:cs="Times New Roman" w:eastAsia="Times New Roman" w:hAnsi="Times New Roman"/>
          <w:sz w:val="22"/>
          <w:szCs w:val="22"/>
          <w:color w:val="auto"/>
        </w:rPr>
        <w:t xml:space="preserve"> On any termination of Executive’s employment hereunder, he shall be entitled to other or additional benefits in accordance with the then applicable terms of applicable plans, programs, corporate governance documents, agreements and arrangements of the Company and its affiliates (excluding any such plans, programs, corporate governance documents, agreements and arrangements of the Company and its affiliates providing for severance payments and/or benefits) (collectively, “</w:t>
      </w:r>
      <w:r>
        <w:rPr>
          <w:rFonts w:ascii="Times New Roman" w:cs="Times New Roman" w:eastAsia="Times New Roman" w:hAnsi="Times New Roman"/>
          <w:sz w:val="22"/>
          <w:szCs w:val="22"/>
          <w:u w:val="single" w:color="auto"/>
          <w:color w:val="auto"/>
        </w:rPr>
        <w:t>Company Arrangements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39"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Payments</w:t>
      </w:r>
      <w:r>
        <w:rPr>
          <w:rFonts w:ascii="Times New Roman" w:cs="Times New Roman" w:eastAsia="Times New Roman" w:hAnsi="Times New Roman"/>
          <w:sz w:val="21"/>
          <w:szCs w:val="21"/>
          <w:color w:val="auto"/>
        </w:rPr>
        <w:t xml:space="preserve">. Any and all amounts payable and benefits or additional rights provided pursuant to Sections 11(b)(A)-(C) shall be paid only if Executive signs and delivers to the Company and does not (within the applicable revocation period) revoke a general release of claims in favor of the Company, its affiliates, and their respective successors, assigns, officers, directors and representatives in substantially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within no later than sixty (60) calendar days following the Date of Termination. If Executive does not timely sign and deliver such Release to the Company, or if Executive timely revokes such Release, Executive hereby acknowledges and agrees that Executive shall forfeit any and all right to any and all amounts payable and benefits or additional rights provided pursuant to Sections 11(b)</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w:t>
      </w:r>
    </w:p>
    <w:p>
      <w:pPr>
        <w:spacing w:after="0" w:line="222" w:lineRule="exact"/>
        <w:rPr>
          <w:rFonts w:ascii="Times New Roman" w:cs="Times New Roman" w:eastAsia="Times New Roman" w:hAnsi="Times New Roman"/>
          <w:sz w:val="21"/>
          <w:szCs w:val="21"/>
          <w:color w:val="auto"/>
        </w:rPr>
      </w:pPr>
    </w:p>
    <w:p>
      <w:pPr>
        <w:ind w:firstLine="1304"/>
        <w:spacing w:after="0" w:line="284" w:lineRule="auto"/>
        <w:tabs>
          <w:tab w:leader="none" w:pos="1939"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Except as otherwise set forth in this Agreement, the respective rights and obligations of the Parties under this Agreement shall survive any termination of Executive’s employment.</w:t>
      </w:r>
    </w:p>
    <w:p>
      <w:pPr>
        <w:spacing w:after="0" w:line="17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Excess Parachute Payment</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or the Plan to the contrary notwithstanding,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is or will be subject to the excise tax imposed under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Total Payments shall be reduced (but not below zero) to the Safe Harbor Amount (as defined below)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w:t>
      </w:r>
      <w:r>
        <w:rPr>
          <w:rFonts w:ascii="Times New Roman" w:cs="Times New Roman" w:eastAsia="Times New Roman" w:hAnsi="Times New Roman"/>
          <w:sz w:val="22"/>
          <w:szCs w:val="22"/>
          <w:u w:val="single" w:color="auto"/>
          <w:color w:val="auto"/>
        </w:rPr>
        <w:t>Safe Harbor Amount</w:t>
      </w:r>
      <w:r>
        <w:rPr>
          <w:rFonts w:ascii="Times New Roman" w:cs="Times New Roman" w:eastAsia="Times New Roman" w:hAnsi="Times New Roman"/>
          <w:sz w:val="22"/>
          <w:szCs w:val="22"/>
          <w:color w:val="auto"/>
        </w:rPr>
        <w:t>” means the largest portion of the Total Payments that would result in no portion of the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-208280</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9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27" w:name="page128"/>
    <w:bookmarkEnd w:id="127"/>
    <w:p>
      <w:pPr>
        <w:jc w:val="both"/>
        <w:spacing w:after="0" w:line="256" w:lineRule="auto"/>
        <w:rPr>
          <w:sz w:val="20"/>
          <w:szCs w:val="20"/>
          <w:color w:val="auto"/>
        </w:rPr>
      </w:pPr>
      <w:r>
        <w:rPr>
          <w:rFonts w:ascii="Times New Roman" w:cs="Times New Roman" w:eastAsia="Times New Roman" w:hAnsi="Times New Roman"/>
          <w:sz w:val="22"/>
          <w:szCs w:val="22"/>
          <w:color w:val="auto"/>
        </w:rPr>
        <w:t>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 (as defined below).</w:t>
      </w:r>
    </w:p>
    <w:p>
      <w:pPr>
        <w:spacing w:after="0" w:line="203" w:lineRule="exact"/>
        <w:rPr>
          <w:sz w:val="20"/>
          <w:szCs w:val="20"/>
          <w:color w:val="auto"/>
        </w:rPr>
      </w:pPr>
    </w:p>
    <w:p>
      <w:pPr>
        <w:jc w:val="both"/>
        <w:ind w:firstLine="1304"/>
        <w:spacing w:after="0" w:line="247" w:lineRule="auto"/>
        <w:tabs>
          <w:tab w:leader="none" w:pos="193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whether the Total Payments shall be reduced as provided in Section 12(a) and the amount of such reduction shall be made at the Company’s expense by an accounting firm selected by Company from among the ten (10) largest accounting firms in the United States or by qualified independent tax counsel (the “</w:t>
      </w:r>
      <w:r>
        <w:rPr>
          <w:rFonts w:ascii="Times New Roman" w:cs="Times New Roman" w:eastAsia="Times New Roman" w:hAnsi="Times New Roman"/>
          <w:sz w:val="22"/>
          <w:szCs w:val="22"/>
          <w:u w:val="single" w:color="auto"/>
          <w:color w:val="auto"/>
        </w:rPr>
        <w:t>Determining 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shall be given advance notice of the Determining Party selected by the Company, and shall have the opportunity to reject the selection, within two (2) business days of being notified of the selection, on the basis of that Determining Party’s having a conflict of interest or other reasonable basis, in which case the Company shall select an alternative auditing firm among the ten largest accounting firms in the United States or alternative independent qualified tax counsel, which shall become the Determining Party. Such Determining Party shall provide its determination (the “</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together with detailed supporting calculations and documentation to the Company and Executive, within ten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 Executive that no Excise Tax will be imposed with respect to any such payments and, absent manifest error, such Determination shall be binding, final and conclusive upon the Company and Executive. If the Determining Party determines that an Excise Tax would be payable, the Company shall have the right to accept the Determination as to the extent of the reduction, if any, pursuant to Section 12(a), or to have such Determination reviewed by another accounting firm selected by the Company, at the Company’s expense. If the two accounting firms do not agree, a third accounting firm shall be jointly chosen by Executive and the Company, in which case the determination of such third accounting firm shall be binding, final and conclusive upon the Company and Executive.</w:t>
      </w:r>
    </w:p>
    <w:p>
      <w:pPr>
        <w:spacing w:after="0" w:line="214"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notwithstanding any reduction described in this Section 12, the Internal Revenue Service (“</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determines that Executive is liable for the Excise Tax as a result of the receipt of any of the Total Payments or otherwise, then Executive shall be obligated to pay back to the Company, within thirty (30) calendar days after a final IRS determination or in the event that Executive challenges the final IRS determination, a final judicial determination, a portion of the Total Payments equal to the “Repayment Amount.” The “</w:t>
      </w:r>
      <w:r>
        <w:rPr>
          <w:rFonts w:ascii="Times New Roman" w:cs="Times New Roman" w:eastAsia="Times New Roman" w:hAnsi="Times New Roman"/>
          <w:sz w:val="22"/>
          <w:szCs w:val="22"/>
          <w:u w:val="single" w:color="auto"/>
          <w:color w:val="auto"/>
        </w:rPr>
        <w:t>Repayment Amount</w:t>
      </w:r>
      <w:r>
        <w:rPr>
          <w:rFonts w:ascii="Times New Roman" w:cs="Times New Roman" w:eastAsia="Times New Roman" w:hAnsi="Times New Roman"/>
          <w:sz w:val="22"/>
          <w:szCs w:val="22"/>
          <w:color w:val="auto"/>
        </w:rPr>
        <w:t>” with respect to the payment of benefits shall be the smallest such amount, if any, as shall be required to be paid to the Company so that Executive’s net after-tax proceeds with respect to the Total Payments (after taking into account the payment of the Excise Tax and all other applicable taxes imposed on the Payment) shall be maximized. The Repayment Amount shall be zero if a Repayment Amount of more than zero would not result in Executive’s net after-tax proceeds with respect to the Total Payments being maximized. If the Excise Tax is not eliminated pursuant to this Section 12(c), Executive shall pay the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28" w:name="page129"/>
    <w:bookmarkEnd w:id="128"/>
    <w:p>
      <w:pPr>
        <w:jc w:val="both"/>
        <w:ind w:firstLine="1304"/>
        <w:spacing w:after="0" w:line="250" w:lineRule="auto"/>
        <w:tabs>
          <w:tab w:leader="none" w:pos="1939"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Section 12, if (i) there is a reduction in the Total Payments as described in this Section 12,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 payments or benefits which were reduced pursuant to this Section 12 as soon as administratively possible after Executive pays the Excise Tax (but not later than March 15 following the calendar year of the IRS determination) so that Executive’s net after-tax proceeds with respect to the Total Payments are maximized.</w:t>
      </w:r>
    </w:p>
    <w:p>
      <w:pPr>
        <w:spacing w:after="0" w:line="20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Competition/Confidentiality</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656"/>
        <w:spacing w:after="0" w:line="250" w:lineRule="auto"/>
        <w:tabs>
          <w:tab w:leader="none" w:pos="129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Acknowledgments by Executive</w:t>
      </w:r>
      <w:r>
        <w:rPr>
          <w:rFonts w:ascii="Times New Roman" w:cs="Times New Roman" w:eastAsia="Times New Roman" w:hAnsi="Times New Roman"/>
          <w:sz w:val="22"/>
          <w:szCs w:val="22"/>
          <w:color w:val="auto"/>
        </w:rPr>
        <w:t>. Executive acknowledges that: (i) on and following the Employment Effective Date and through the Term and as a part of Executive’s employment, Executive has been and will be afforded access to Confidential Information (as defined below); (ii) public disclosure of such Confidential Information could have an adverse effect on the Company and its business; (iii) because Executive possesses substantial technical expertise and skill with respect to the Company’s business, the Company desires to obtain exclusive ownership of each invention by Executive while Executive is employed by the Company, and the Company will be at a substantial competitive disadvantage if it fails to acquire exclusive ownership of each such invention by Executive; and (iv) the provisions of this Section 13 are reasonable and necessary to prevent the improper use or disclosure of Confidential Information and to provide the Company with exclusive ownership of all inventions and works made or created by Executive.</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on and following the Employment Effective Date and through the Term Executive has had and will have access to and may obtain, develop, or learn of Confidential Information (as defined below) under and pursuant to a relationship of trust and confidence. Executive shall hold such Confidential Information in strictest confidence and never at any time, during or after Executive’s employment terminates, directly or indirectly use for Executive’s own benefit or otherwise (except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29" w:name="page130"/>
    <w:bookmarkEnd w:id="129"/>
    <w:p>
      <w:pPr>
        <w:spacing w:after="0" w:line="271" w:lineRule="auto"/>
        <w:rPr>
          <w:sz w:val="20"/>
          <w:szCs w:val="20"/>
          <w:color w:val="auto"/>
        </w:rPr>
      </w:pPr>
      <w:r>
        <w:rPr>
          <w:rFonts w:ascii="Times New Roman" w:cs="Times New Roman" w:eastAsia="Times New Roman" w:hAnsi="Times New Roman"/>
          <w:sz w:val="22"/>
          <w:szCs w:val="22"/>
          <w:color w:val="auto"/>
        </w:rPr>
        <w:t>performance of any duties as an employee hereunder) any Confidential Information, or divulge, reveal, disclose or communicate any Confidential Information to any unauthorized person or entity in any manner whatsoever.</w:t>
      </w:r>
    </w:p>
    <w:p>
      <w:pPr>
        <w:spacing w:after="0" w:line="185" w:lineRule="exact"/>
        <w:rPr>
          <w:sz w:val="20"/>
          <w:szCs w:val="20"/>
          <w:color w:val="auto"/>
        </w:rPr>
      </w:pPr>
    </w:p>
    <w:p>
      <w:pPr>
        <w:jc w:val="both"/>
        <w:ind w:firstLine="1952"/>
        <w:spacing w:after="0" w:line="263" w:lineRule="auto"/>
        <w:tabs>
          <w:tab w:leader="none" w:pos="258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term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include, but not be limited to, any of the following information relating to the Company learned by Executive on and following the Employment Effective Date and through the Term or as a result of Executive’s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-381635</wp:posOffset>
            </wp:positionV>
            <wp:extent cx="342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9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4" w:lineRule="exact"/>
        <w:rPr>
          <w:sz w:val="20"/>
          <w:szCs w:val="20"/>
          <w:color w:val="auto"/>
        </w:rPr>
      </w:pPr>
    </w:p>
    <w:p>
      <w:pPr>
        <w:ind w:left="2600" w:hanging="648"/>
        <w:spacing w:after="0" w:line="271" w:lineRule="auto"/>
        <w:tabs>
          <w:tab w:leader="none" w:pos="258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the Company’s business proposals, manner of the Company’s operations, and methods of selling or pricing any products or services;</w:t>
      </w:r>
    </w:p>
    <w:p>
      <w:pPr>
        <w:spacing w:after="0" w:line="184" w:lineRule="exact"/>
        <w:rPr>
          <w:rFonts w:ascii="Times New Roman" w:cs="Times New Roman" w:eastAsia="Times New Roman" w:hAnsi="Times New Roman"/>
          <w:sz w:val="22"/>
          <w:szCs w:val="22"/>
          <w:color w:val="auto"/>
        </w:rPr>
      </w:pPr>
    </w:p>
    <w:p>
      <w:pPr>
        <w:jc w:val="both"/>
        <w:ind w:left="2600" w:hanging="648"/>
        <w:spacing w:after="0" w:line="263" w:lineRule="auto"/>
        <w:tabs>
          <w:tab w:leader="none" w:pos="259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persons or entities actually conducting or considering conducting business with the Company, and any information in any form relating to such persons or entities and their relationship or dealings with the Company or its affiliates;</w:t>
      </w:r>
    </w:p>
    <w:p>
      <w:pPr>
        <w:spacing w:after="0" w:line="194" w:lineRule="exact"/>
        <w:rPr>
          <w:rFonts w:ascii="Times New Roman" w:cs="Times New Roman" w:eastAsia="Times New Roman" w:hAnsi="Times New Roman"/>
          <w:sz w:val="22"/>
          <w:szCs w:val="22"/>
          <w:color w:val="auto"/>
        </w:rPr>
      </w:pPr>
    </w:p>
    <w:p>
      <w:pPr>
        <w:ind w:left="2600" w:right="20" w:hanging="648"/>
        <w:spacing w:after="0" w:line="271" w:lineRule="auto"/>
        <w:tabs>
          <w:tab w:leader="none" w:pos="259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trade secret or confidential information of or concerning any business operation or business relationship;</w:t>
      </w:r>
    </w:p>
    <w:p>
      <w:pPr>
        <w:spacing w:after="0" w:line="184" w:lineRule="exact"/>
        <w:rPr>
          <w:rFonts w:ascii="Times New Roman" w:cs="Times New Roman" w:eastAsia="Times New Roman" w:hAnsi="Times New Roman"/>
          <w:sz w:val="22"/>
          <w:szCs w:val="22"/>
          <w:color w:val="auto"/>
        </w:rPr>
      </w:pPr>
    </w:p>
    <w:p>
      <w:pPr>
        <w:ind w:left="2600" w:hanging="648"/>
        <w:spacing w:after="0" w:line="271" w:lineRule="auto"/>
        <w:tabs>
          <w:tab w:leader="none" w:pos="258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computer databases, software programs and information relating to the nature of the hardware or software and how said hardware or software is used in combination or alone;</w:t>
      </w:r>
    </w:p>
    <w:p>
      <w:pPr>
        <w:spacing w:after="0" w:line="198" w:lineRule="exact"/>
        <w:rPr>
          <w:rFonts w:ascii="Times New Roman" w:cs="Times New Roman" w:eastAsia="Times New Roman" w:hAnsi="Times New Roman"/>
          <w:sz w:val="22"/>
          <w:szCs w:val="22"/>
          <w:color w:val="auto"/>
        </w:rPr>
      </w:pPr>
    </w:p>
    <w:p>
      <w:pPr>
        <w:jc w:val="both"/>
        <w:ind w:left="2600" w:hanging="648"/>
        <w:spacing w:after="0" w:line="248" w:lineRule="auto"/>
        <w:tabs>
          <w:tab w:leader="none" w:pos="259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Company personnel, confidential financial information, customer or customer prospect information, information concerning subscribers, subscriber and customer lists and data, methods and formulas for estimating costs and setting prices, engineering design standards, testing procedures, research results (such as marketing surveys, programming trials or product trials), cost data (such as billing, equipment and programming cost projection models), compensation information and models, business or marketing plans or strategies, deal or business terms, budgets, vendor names, programming operations, product names, information on proposed acquisitions or dispositions, actual performance compared to budgeted performance, long range plans, internal financial information (including but not limited to financial and operating results for certain offices, divisions, departments, and key market areas that are not disclosed to the public in such form), results of internal analyses, computer programs and programming information, techniques and designs, and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30" w:name="page131"/>
    <w:bookmarkEnd w:id="130"/>
    <w:p>
      <w:pPr>
        <w:ind w:left="2600" w:hanging="648"/>
        <w:spacing w:after="0"/>
        <w:tabs>
          <w:tab w:leader="none" w:pos="26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the Company’s employees, officers, directors and shareholders; and</w:t>
      </w:r>
    </w:p>
    <w:p>
      <w:pPr>
        <w:spacing w:after="0" w:line="24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trade secret or information of a confidential or proprietary nature.</w:t>
      </w:r>
    </w:p>
    <w:p>
      <w:pPr>
        <w:spacing w:after="0" w:line="247" w:lineRule="exact"/>
        <w:rPr>
          <w:sz w:val="20"/>
          <w:szCs w:val="20"/>
          <w:color w:val="auto"/>
        </w:rPr>
      </w:pPr>
    </w:p>
    <w:p>
      <w:pPr>
        <w:jc w:val="both"/>
        <w:ind w:firstLine="1952"/>
        <w:spacing w:after="0" w:line="256" w:lineRule="auto"/>
        <w:tabs>
          <w:tab w:leader="none" w:pos="2592"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not make or use any notes or memoranda relating to any Confidential Information except for uses reasonably expected by Executive to be for the benefit of the Company, and will, at the Company’s request, return each original and every copy of any and all notes, memoranda, correspondence, diagrams or other records, in written or other form, that Executive may at any time have within his possession or control that contain any Confidential Information.</w:t>
      </w:r>
    </w:p>
    <w:p>
      <w:pPr>
        <w:spacing w:after="0" w:line="203"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0"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Confidential Information shall not include information that has come within the public domain through no fault of or action by Executive or that has become rightfully available to Executive on a non-confidential basis from any third party, the disclosure of which to Executive does not violate any contractual or legal obligations that such third party has to the Company or its affiliates with respect to such Confidential Information. None of the foregoing obligations and restrictions applies to any part of the Confidential Information that Executive demonstrates was or became generally available to the public other than as a result of a disclosure by Executive or by any other person bound by a confidentiality obligation to the Company in respect of such Confidential Information. Further, nothing herein shall prohibit Executive from using Confidential Information to the extent necessary to exercise any legally protected whistleblower rights (including pursuant to Rule 21F under the Exchange Act).</w:t>
      </w:r>
    </w:p>
    <w:p>
      <w:pPr>
        <w:spacing w:after="0" w:line="206"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87"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not remove from the Company’s premises (except to the extent such removal is for purposes of the performance of Executive’s duties at home or while traveling, or except as otherwise specifically authorized by the Company) any Company document, record, notebook, plan, model, component, device, or computer software or code, whether embodied in a disk or in any other form (collectively, the “</w:t>
      </w:r>
      <w:r>
        <w:rPr>
          <w:rFonts w:ascii="Times New Roman" w:cs="Times New Roman" w:eastAsia="Times New Roman" w:hAnsi="Times New Roman"/>
          <w:sz w:val="22"/>
          <w:szCs w:val="22"/>
          <w:u w:val="single" w:color="auto"/>
          <w:color w:val="auto"/>
        </w:rPr>
        <w:t>Proprietary Items</w:t>
      </w:r>
      <w:r>
        <w:rPr>
          <w:rFonts w:ascii="Times New Roman" w:cs="Times New Roman" w:eastAsia="Times New Roman" w:hAnsi="Times New Roman"/>
          <w:sz w:val="22"/>
          <w:szCs w:val="22"/>
          <w:color w:val="auto"/>
        </w:rPr>
        <w:t>”). Executive recognizes that, as between the Company and Executive, all of the Proprietary Items, whether or not developed by Executive, are the exclusive property of the Company. Upon termination of Executive’s employment by either Party, or upon the request of the Company on and following the Effective Date and through the Term, Executive will return to the Company all of the Proprietary Items in Executive’s possession or subject to Executive’s control, including all equipment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laptop computers, cell phone, portable e-mail devices, etc.), documents, files and data, and Executive shall not retain any copies, abstracts, sketches, or other physical embodiment of any such Proprietary Items.</w:t>
      </w:r>
    </w:p>
    <w:p>
      <w:pPr>
        <w:spacing w:after="0" w:line="21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Developments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Developments</w:t>
      </w:r>
      <w:r>
        <w:rPr>
          <w:rFonts w:ascii="Times New Roman" w:cs="Times New Roman" w:eastAsia="Times New Roman" w:hAnsi="Times New Roman"/>
          <w:sz w:val="22"/>
          <w:szCs w:val="22"/>
          <w:color w:val="auto"/>
        </w:rPr>
        <w:t>. Any and all inventions, products, discoveries, improvements, processes, methods, computer software programs, models, techniques, or formulae (collectively, hereinafter referred to as “</w:t>
      </w:r>
      <w:r>
        <w:rPr>
          <w:rFonts w:ascii="Times New Roman" w:cs="Times New Roman" w:eastAsia="Times New Roman" w:hAnsi="Times New Roman"/>
          <w:sz w:val="22"/>
          <w:szCs w:val="22"/>
          <w:u w:val="single" w:color="auto"/>
          <w:color w:val="auto"/>
        </w:rPr>
        <w:t>Developments</w:t>
      </w:r>
      <w:r>
        <w:rPr>
          <w:rFonts w:ascii="Times New Roman" w:cs="Times New Roman" w:eastAsia="Times New Roman" w:hAnsi="Times New Roman"/>
          <w:sz w:val="22"/>
          <w:szCs w:val="22"/>
          <w:color w:val="auto"/>
        </w:rPr>
        <w:t>”), made, conceived, developed,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or created by Executive (alone or in conjunction with others, during regular work hours or otherwise) during Executive’s employment which may be directly or indirectly useful in, or relate to, the business conducted or to be conducted by the Company will be promptly disclosed by Executive to the Company and shall be the Company’s exclusive property. The term “Developments” shall not be deemed to include inventions, products, discoveries, improvements, processes, methods, computer software programs, models, techniques, or formulae which were in the possession of Executive prior to the Employment Effective Date. Executive hereby transfers and assigns to the Company all proprietary rights that Executive may have or acquire in any Developments and Executive waives any other special right which Executive may have or accrue therein. Executive will execute any documents and take any actions that may be required, in the reasonable determination of the Company’s counsel, to effect and confirm such assignment, transfer and waiver, to direct the issuance of patents, trademarks, or copyrights to the Company with respect to such Developments as are to be the Company’s exclusive property or to vest in the Company title to such Developments;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expense of securing any patent, trademark or copyright shall be borne by Company. The Parties agree that Developments shall constitute Confidential Information.</w:t>
      </w:r>
    </w:p>
    <w:p>
      <w:pPr>
        <w:spacing w:after="0" w:line="211" w:lineRule="exact"/>
        <w:rPr>
          <w:sz w:val="20"/>
          <w:szCs w:val="20"/>
          <w:color w:val="auto"/>
        </w:rPr>
      </w:pPr>
    </w:p>
    <w:p>
      <w:pPr>
        <w:jc w:val="both"/>
        <w:ind w:firstLine="1304"/>
        <w:spacing w:after="0" w:line="253" w:lineRule="auto"/>
        <w:tabs>
          <w:tab w:leader="none" w:pos="1939"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 Made for Hire</w:t>
      </w:r>
      <w:r>
        <w:rPr>
          <w:rFonts w:ascii="Times New Roman" w:cs="Times New Roman" w:eastAsia="Times New Roman" w:hAnsi="Times New Roman"/>
          <w:sz w:val="22"/>
          <w:szCs w:val="22"/>
          <w:color w:val="auto"/>
        </w:rPr>
        <w:t>. Any work performed by Executive during Executive’s employment with the Company shall be considered a “Work Made for Hire” as defined in the U.S. Copyright laws, and shall be owned by and for the express benefit of the Company. In the event it should be established that such work does not qualify as a Work Made for Hire, Executive agrees to and does hereby assign to the Company all of Executive’s right, title, and interest in such work product including, but not limited to, all copyrights and other proprietary rights.</w:t>
      </w:r>
    </w:p>
    <w:p>
      <w:pPr>
        <w:spacing w:after="0" w:line="20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Non-Interference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62" w:lineRule="auto"/>
        <w:tabs>
          <w:tab w:leader="none" w:pos="1941"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Acknowledgments by Executive</w:t>
      </w:r>
      <w:r>
        <w:rPr>
          <w:rFonts w:ascii="Times New Roman" w:cs="Times New Roman" w:eastAsia="Times New Roman" w:hAnsi="Times New Roman"/>
          <w:sz w:val="21"/>
          <w:szCs w:val="21"/>
          <w:color w:val="auto"/>
        </w:rPr>
        <w:t>. Executive acknowledges and agrees that: (i) the services to be performed by Executive under this Agreement are of a special, unique, unusual, extraordinary, and intellectual character; (ii) the Company competes with other businesses that are or could be located in any part of the world; (iii) the provisions of this Section 15 are reasonable and necessary to protect the Company’s business and lawful protectable interests, and do not impair Executive’s ability to earn a living; and (iv) the Company has agreed to provide the severance and other benefits set forth in Sections 11(b)</w:t>
      </w:r>
    </w:p>
    <w:p>
      <w:pPr>
        <w:spacing w:after="0" w:line="1" w:lineRule="exact"/>
        <w:rPr>
          <w:rFonts w:ascii="Times New Roman" w:cs="Times New Roman" w:eastAsia="Times New Roman" w:hAnsi="Times New Roman"/>
          <w:sz w:val="21"/>
          <w:szCs w:val="21"/>
          <w:color w:val="auto"/>
        </w:rPr>
      </w:pPr>
    </w:p>
    <w:p>
      <w:pPr>
        <w:spacing w:after="0" w:line="26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 in consideration for Executive’s abiding by the obligations under this Section 15 and but for Executive’s agreement to comply with such obligations, the Company would not have agreed to provide such severance and other benefits.</w:t>
      </w:r>
    </w:p>
    <w:p>
      <w:pPr>
        <w:spacing w:after="0" w:line="195" w:lineRule="exact"/>
        <w:rPr>
          <w:rFonts w:ascii="Times New Roman" w:cs="Times New Roman" w:eastAsia="Times New Roman" w:hAnsi="Times New Roman"/>
          <w:sz w:val="21"/>
          <w:szCs w:val="21"/>
          <w:color w:val="auto"/>
        </w:rPr>
      </w:pPr>
    </w:p>
    <w:p>
      <w:pPr>
        <w:jc w:val="both"/>
        <w:ind w:firstLine="1304"/>
        <w:spacing w:after="0" w:line="251" w:lineRule="auto"/>
        <w:tabs>
          <w:tab w:leader="none" w:pos="1939"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Executive</w:t>
      </w:r>
      <w:r>
        <w:rPr>
          <w:rFonts w:ascii="Times New Roman" w:cs="Times New Roman" w:eastAsia="Times New Roman" w:hAnsi="Times New Roman"/>
          <w:sz w:val="22"/>
          <w:szCs w:val="22"/>
          <w:color w:val="auto"/>
        </w:rPr>
        <w:t>. For purposes of this Section 15, the term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shall mean the period commencing on the Effective Date and terminating on the second annual anniversary (or, in the case of Section 15(b)(iii), the first anniversary) of the Date of Termination; provided, that the “Restricted Period” also shall encompass any period of time from whichever anniversary date is applicable until and ending on the last date Executive is to be paid any payment; and provided further, that the “Restricted Period” shall be tolled and extended for any period of time during which Executive is found to be in violation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56" w:lineRule="auto"/>
        <w:rPr>
          <w:sz w:val="20"/>
          <w:szCs w:val="20"/>
          <w:color w:val="auto"/>
        </w:rPr>
      </w:pPr>
      <w:r>
        <w:rPr>
          <w:rFonts w:ascii="Times New Roman" w:cs="Times New Roman" w:eastAsia="Times New Roman" w:hAnsi="Times New Roman"/>
          <w:sz w:val="22"/>
          <w:szCs w:val="22"/>
          <w:color w:val="auto"/>
        </w:rPr>
        <w:t>covenants set forth in this Section 15(b). In consideration of the acknowledgments by Executive, and in consideration of the compensation and benefits to be paid or provided to Executive by the Company, Executive covenants and agrees that during the Restricted Period, Executive will not, directly or indirectly, for Executive’s own benefit or for the benefit of any other person or entity other than the Company:</w:t>
      </w:r>
    </w:p>
    <w:p>
      <w:pPr>
        <w:spacing w:after="0" w:line="203" w:lineRule="exact"/>
        <w:rPr>
          <w:sz w:val="20"/>
          <w:szCs w:val="20"/>
          <w:color w:val="auto"/>
        </w:rPr>
      </w:pPr>
    </w:p>
    <w:p>
      <w:pPr>
        <w:jc w:val="both"/>
        <w:ind w:left="660" w:hanging="4"/>
        <w:spacing w:after="0" w:line="259" w:lineRule="auto"/>
        <w:tabs>
          <w:tab w:leader="none" w:pos="129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United States or any other country or territory where the Company then conducts its business: engage in, operate, finance, control or be employed by a “Competitive Business” (as defined below); serve as an officer or director of a Competitive Business (regardless of where Executive then lives or conducts such activities); perform any work as an employee, consultant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his employment with the Company), contractor, or in any other capacity with, a Competitive Business; directly or indirectly invest or own any interest in a Competitive Business (regardless of where Executive then lives or conducts such activities); or directly or indirectly provide any services or advice to any business, person or entity who or which is engaged in a Competitive Business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his employment with the Company). A “</w:t>
      </w:r>
      <w:r>
        <w:rPr>
          <w:rFonts w:ascii="Times New Roman" w:cs="Times New Roman" w:eastAsia="Times New Roman" w:hAnsi="Times New Roman"/>
          <w:sz w:val="21"/>
          <w:szCs w:val="21"/>
          <w:u w:val="single" w:color="auto"/>
          <w:color w:val="auto"/>
        </w:rPr>
        <w:t>Competitive Business</w:t>
      </w:r>
      <w:r>
        <w:rPr>
          <w:rFonts w:ascii="Times New Roman" w:cs="Times New Roman" w:eastAsia="Times New Roman" w:hAnsi="Times New Roman"/>
          <w:sz w:val="21"/>
          <w:szCs w:val="21"/>
          <w:color w:val="auto"/>
        </w:rPr>
        <w:t>” is any business, person or entity who or which, anywhere within that part of the United States, or that part of any other country or territory, where the Company conducts business, directly or indirectly through any entity controlling, controlled by or under common control with such business, offers, provides, markets or sells any service or product of a type that is offered or marketed by or competitive with a service or product offered or marketed by the Company at the time Executive’s employment terminates or is being planned to be offered or marketed by the Company with Executive’s participation, or who or which in any case is preparing or planning to do so. To appropriately take account of the highly competitive nature of the Company’s business, the Parties agree that any business engaged in any of the activities set forth on Schedule 1 shall be deemed to be a “Competitive Business.” The provisions of this Section 15 shall not be construed or applied so as to prohibit Executive from owning not more than five percent (5%) of any class of securities that is publicly traded on any national or regional securities exchange, as long as Executive’s investment is passive and Executive does not lend or provide any services or advice to such business or otherwise violate the terms of this Agreement in connection with such investment;</w:t>
      </w:r>
    </w:p>
    <w:p>
      <w:pPr>
        <w:spacing w:after="0" w:line="198" w:lineRule="exact"/>
        <w:rPr>
          <w:rFonts w:ascii="Times New Roman" w:cs="Times New Roman" w:eastAsia="Times New Roman" w:hAnsi="Times New Roman"/>
          <w:sz w:val="21"/>
          <w:szCs w:val="21"/>
          <w:color w:val="auto"/>
        </w:rPr>
      </w:pPr>
    </w:p>
    <w:p>
      <w:pPr>
        <w:jc w:val="both"/>
        <w:ind w:left="660" w:hanging="4"/>
        <w:spacing w:after="0" w:line="256" w:lineRule="auto"/>
        <w:tabs>
          <w:tab w:leader="none" w:pos="130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solicit or provide any service in connection with any Competitive Business to any person or entity that was a customer franchisee, or prospective customer of the Company at any time during Executive’s employment (a prospective customer being one to whom the Company had made a business proposal within twelve (12) months prior to the time Executive’s employment terminated); or directly solicit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1" w:right="339" w:bottom="1440" w:gutter="0" w:footer="0" w:header="0"/>
        </w:sectPr>
      </w:pPr>
    </w:p>
    <w:bookmarkStart w:id="133" w:name="page134"/>
    <w:bookmarkEnd w:id="133"/>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encourage any customer, franchisee or subscriber of the Company to purchase any service or product of a type offered by or competitive with any product or service provided by the Company, or to reduce the amount or level of business purchased by such customer, franchisee or subscriber from the Company; or take away or procure for the benefit of any Competitive Business, any business of a type provided by or competitive with a product or service offered by the Company; or</w:t>
      </w:r>
    </w:p>
    <w:p>
      <w:pPr>
        <w:spacing w:after="0" w:line="206" w:lineRule="exact"/>
        <w:rPr>
          <w:sz w:val="20"/>
          <w:szCs w:val="20"/>
          <w:color w:val="auto"/>
        </w:rPr>
      </w:pPr>
    </w:p>
    <w:p>
      <w:pPr>
        <w:jc w:val="both"/>
        <w:ind w:left="660" w:hanging="4"/>
        <w:spacing w:after="0" w:line="249" w:lineRule="auto"/>
        <w:tabs>
          <w:tab w:leader="none" w:pos="130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recruit or hire for employment or provision of consulting services any person or persons who are employed by the Company or any of its subsidiaries or affiliates, or who were so employed at any time within a period of six (6) months immediately prior to the Date of Termination, or otherwise interfere with the relationship between any such person and the Company; nor will Executive assist anyone else in recruiting any such employee to work for another company or business or discuss with any such person leaving the employ of the Company or engaging in a business activity in competition with the Company. This provision shall not apply to secretarial, clerical, custodial or maintenance employees, nor shall it prohibit Executive from providing a personal reference for the person or persons described in this subsection in response to a request for such a personal reference.</w:t>
      </w:r>
    </w:p>
    <w:p>
      <w:pPr>
        <w:spacing w:after="0" w:line="20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If Executive violates any covenant contained in this Section 15, then the term of the covenants in this Section 15 shall be extended by the period of time Executive was in violation of the same.</w:t>
      </w:r>
    </w:p>
    <w:p>
      <w:pPr>
        <w:spacing w:after="0" w:line="171" w:lineRule="exact"/>
        <w:rPr>
          <w:sz w:val="20"/>
          <w:szCs w:val="20"/>
          <w:color w:val="auto"/>
        </w:rPr>
      </w:pPr>
    </w:p>
    <w:p>
      <w:pPr>
        <w:jc w:val="both"/>
        <w:ind w:firstLine="1304"/>
        <w:spacing w:after="0" w:line="260" w:lineRule="auto"/>
        <w:tabs>
          <w:tab w:leader="none" w:pos="1941"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Provisions Pertaining to the Covenants</w:t>
      </w:r>
      <w:r>
        <w:rPr>
          <w:rFonts w:ascii="Times New Roman" w:cs="Times New Roman" w:eastAsia="Times New Roman" w:hAnsi="Times New Roman"/>
          <w:sz w:val="21"/>
          <w:szCs w:val="21"/>
          <w:color w:val="auto"/>
        </w:rPr>
        <w:t>. Executive recognizes that the existing business of the Company extends to various locations and areas throughout the United States and will extend hereafter to other countries and territories and agrees that the scope of this Section 15 shall extend to any part of the United States, and any other country or territory, where the Company operates or conducts business, or has concrete plans to do so at the time Executive’s employment terminates. It is agreed that Executive’s services hereunder are special, unique, unusual and extraordinary giving them peculiar value, the loss of which cannot be reasonably or adequately compensated for by damages, and in the event of Executive’s breach of this Section 15, the Company shall be entitled to equitable relief by way of injunction or otherwise in addition to the cessation of payments and benefits hereunder. If any provision of Section 13, 14 or 15 is deemed to be unenforceable by a court (whether because of the subject matter of the provision, the duration of a restriction, the geographic or other scope of a restriction or otherwise), that provision shall not be rendered void but the Parties instead agree that the court shall amend and alter such provision to such lesser degree, time, scope, extent and/or territory as will grant the Company the maximum restriction on Executive’s activities permitted by applicable law in such circumstances. The Company’s failure to exercise its rights to enforce the provisions of this Agreement shall not be affected by the existence or non-existence of any other similar agreement for anyone else employed by the Company or by the Company’s failure to exercise any of its rights under any such agreement.</w:t>
      </w:r>
    </w:p>
    <w:p>
      <w:pPr>
        <w:spacing w:after="0" w:line="198" w:lineRule="exact"/>
        <w:rPr>
          <w:rFonts w:ascii="Times New Roman" w:cs="Times New Roman" w:eastAsia="Times New Roman" w:hAnsi="Times New Roman"/>
          <w:sz w:val="21"/>
          <w:szCs w:val="21"/>
          <w:color w:val="auto"/>
        </w:rPr>
      </w:pPr>
    </w:p>
    <w:p>
      <w:pPr>
        <w:jc w:val="both"/>
        <w:ind w:firstLine="1304"/>
        <w:spacing w:after="0" w:line="263" w:lineRule="auto"/>
        <w:tabs>
          <w:tab w:leader="none" w:pos="19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Whistleblower Protection</w:t>
      </w:r>
      <w:r>
        <w:rPr>
          <w:rFonts w:ascii="Times New Roman" w:cs="Times New Roman" w:eastAsia="Times New Roman" w:hAnsi="Times New Roman"/>
          <w:sz w:val="22"/>
          <w:szCs w:val="22"/>
          <w:color w:val="auto"/>
        </w:rPr>
        <w:t>. Notwithstanding anything to the contrary contained herein, no provision of this Agreement shall be interpreted so as to impede Executive (or any other individual) from reporting possible violations of federal law or regulation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1" w:right="339" w:bottom="1440" w:gutter="0" w:footer="0" w:header="0"/>
        </w:sectPr>
      </w:pPr>
    </w:p>
    <w:bookmarkStart w:id="134" w:name="page135"/>
    <w:bookmarkEnd w:id="134"/>
    <w:p>
      <w:pPr>
        <w:jc w:val="both"/>
        <w:spacing w:after="0" w:line="256" w:lineRule="auto"/>
        <w:rPr>
          <w:sz w:val="20"/>
          <w:szCs w:val="20"/>
          <w:color w:val="auto"/>
        </w:rPr>
      </w:pPr>
      <w:r>
        <w:rPr>
          <w:rFonts w:ascii="Times New Roman" w:cs="Times New Roman" w:eastAsia="Times New Roman" w:hAnsi="Times New Roman"/>
          <w:sz w:val="22"/>
          <w:szCs w:val="22"/>
          <w:color w:val="auto"/>
        </w:rPr>
        <w:t>governmental agency or entity, including but not limited to the Department of Justice, the Securities and Exchange Commission, the Congress, and any agency Inspector General, or making other disclosures under the whistleblower provisions of federal law or regulation. Executive does not need the prior authorization of the Company to make any such reports or disclosures and Executive shall not be not required to notify the Company that such reports or disclosures have been made.</w:t>
      </w:r>
    </w:p>
    <w:p>
      <w:pPr>
        <w:spacing w:after="0" w:line="203" w:lineRule="exact"/>
        <w:rPr>
          <w:sz w:val="20"/>
          <w:szCs w:val="20"/>
          <w:color w:val="auto"/>
        </w:rPr>
      </w:pPr>
    </w:p>
    <w:p>
      <w:pPr>
        <w:jc w:val="both"/>
        <w:ind w:firstLine="1304"/>
        <w:spacing w:after="0" w:line="248" w:lineRule="auto"/>
        <w:tabs>
          <w:tab w:leader="none" w:pos="194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21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In order to preserve the Company’s rights under this Agreement, the Company is authorized to advise any potential or future employer, any third party with whom Executive may become employed or enter into any business or contractual relationship with, and any third party whom Executive may contact for any such purpose, of the existence of this Agreement and its terms, and the Company shall not be liable for doing so.</w:t>
      </w:r>
    </w:p>
    <w:p>
      <w:pPr>
        <w:spacing w:after="0" w:line="203"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 and Additional Remedy</w:t>
      </w:r>
      <w:r>
        <w:rPr>
          <w:rFonts w:ascii="Times New Roman" w:cs="Times New Roman" w:eastAsia="Times New Roman" w:hAnsi="Times New Roman"/>
          <w:sz w:val="22"/>
          <w:szCs w:val="22"/>
          <w:color w:val="auto"/>
        </w:rPr>
        <w:t>. Executive acknowledges that the injury that would be suffered by Company as a result of a breach of the provisions of this Agreement (including any provision of Sections 13, 14 and 15) would be irreparable and that an award of monetary damages to the Company for such a breach would be an inadequate remedy. Consequently, the Company will have the right, in addition to any other rights it may have, to obtain injunctive relief to restrain any breach or threatened breach or otherwise to specifically enforce any provision of this Agreement, and the Company will not be obligated to post bond or other security in seeking such relief. Without limiting the Company’s rights under this Section 15 or any other remedies of the Company, in the event of a determination by a court of competent jurisdiction, as to which no further appeal can be taken or as to which the time to appeal has expired, that Executive has willfully breached a material obligation under Section 13, 14 or 15, (i) the Company will have the right to cease making any payments otherwise due to Executive under this Agreement and (ii) Executive will repay to the Company all amounts paid to him under this Agreement on and following the date that such breach first occurred (as determined by the court), including but not limited to the return of any stock and options (and stock purchased through the exercise of options) that first became vested following such date, and the proceeds of the sale of any such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1" w:right="339" w:bottom="1440" w:gutter="0" w:footer="0" w:header="0"/>
        </w:sectPr>
      </w:pPr>
    </w:p>
    <w:bookmarkStart w:id="135" w:name="page136"/>
    <w:bookmarkEnd w:id="135"/>
    <w:p>
      <w:pPr>
        <w:jc w:val="both"/>
        <w:ind w:firstLine="1304"/>
        <w:spacing w:after="0" w:line="247" w:lineRule="auto"/>
        <w:tabs>
          <w:tab w:leader="none" w:pos="1939"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Sections 13, 14 and 15 are Essential and Independent Covenants</w:t>
      </w:r>
      <w:r>
        <w:rPr>
          <w:rFonts w:ascii="Times New Roman" w:cs="Times New Roman" w:eastAsia="Times New Roman" w:hAnsi="Times New Roman"/>
          <w:sz w:val="22"/>
          <w:szCs w:val="22"/>
          <w:color w:val="auto"/>
        </w:rPr>
        <w:t>. The covenants by Executive in Sections 13, 14 and 15 are essential elements of this Agreement, and without Executive’s agreement to comply with such covenants, the Company would not have entered into this Agreement or employed Executive. The Company and Executive have independently consulted their respective counsel and have been advised in all respects concerning the reasonableness and propriety of such covenants, with specific regard to the nature of the business conducted by the Company. Executive’s covenants in Sections 13, 14 and 15 are independent covenants and the existence of any claim by Executive against the Company, under this Agreement or otherwise, will not excuse Executive’s breach of any covenant in Section 13, 14 or 15. If Executive’s employment hereunder is terminated, this Agreement will continue in full force and effect as is necessary or appropriate to enforce the covenants and agreements of Executive in Sections 13, 14 and 15. The Company’s right to enforce the covenants in Sections 13, 14 and 15 shall not be adversely affected or limited by the Company’s failure to have an agreement with another employee with provisions at least as restrictive as those contained in Section 13, 14 or 15, or by the Company’s failure or inability to enforce (or agreement not to enforce) in full the provisions of any other or similar agreement containing one or more restrictions of the type specified in Sections 13, 14 and 15.</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Further Agreements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warrants and covenants to the Company that Executive is knowledgeable and sophisticated as to business matters, including the subject matter of this Agreement, and that prior to assenting to the terms of this Agreement, or giving the representations and warranties herein, Executive has been given a reasonable time to review it and has consulted with counsel of Executive’s choice; and</w:t>
      </w:r>
    </w:p>
    <w:p>
      <w:pPr>
        <w:spacing w:after="0" w:line="20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Executive’s employment with the Company and subsequent to the cessation thereof, Executive will reasonably cooperate with Company, and furnish any and all complete and truthful information, testimony or affidavits in connection with any matter that arose during Executive’s employment, that in any way relates to the business or operations of the Company or any of its parent or subsidiary corporations or affiliates, or of which Executive may have any knowledge or involvement; and will consult with and provide information to the Company and its representatives concerning such matters. Executive shall reasonably cooperate with the Company in the protection and enforcement of any intellectual property rights that relate to services performed by Executive for Company, whether under the terms of this Agreement or prior to the execution of this Agreement. This shall include without limitation executing, acknowledging, and delivering to the Company all documents or papers that may be necessary to enable the Company to publish or protect such intellectual property rights. Subsequent to the cessation of Executive’s employment with the Company, the Parties will make their best efforts to have such cooperation performed at reasonable times and places and in a manner as not to unreasonably interfere with any other employment in which Executive may then be engaged. Nothing in this Agreement shall be construed or interpreted as requiring Executive to provide any testimony, sworn statement or declaration that is not complete and truthful. If the Company requires Executive to travel outside the metropolitan area in the United States where Executive then resides to provide any testimony or otherwise provide any such assistance, then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1" w:right="339" w:bottom="1440" w:gutter="0" w:footer="0" w:header="0"/>
        </w:sectPr>
      </w:pPr>
    </w:p>
    <w:bookmarkStart w:id="136" w:name="page137"/>
    <w:bookmarkEnd w:id="136"/>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Company will reimburse Executive for any reasonable, ordinary and necessary travel and lodging expenses incurred by Executive to do so;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submits all documentation required under the Company’s standard travel expense reimbursement policies and as otherwise may be required to satisfy any requirements under applicable tax laws for the Company to deduct those expenses. Nothing in this Agreement shall be construed or interpreted as requiring Executive to provide any testimony or affidavit that is not complete and truthful.</w:t>
      </w:r>
    </w:p>
    <w:p>
      <w:pPr>
        <w:spacing w:after="0" w:line="206" w:lineRule="exact"/>
        <w:rPr>
          <w:sz w:val="20"/>
          <w:szCs w:val="20"/>
          <w:color w:val="auto"/>
        </w:rPr>
      </w:pPr>
    </w:p>
    <w:p>
      <w:pPr>
        <w:jc w:val="both"/>
        <w:ind w:firstLine="1304"/>
        <w:spacing w:after="0" w:line="250" w:lineRule="auto"/>
        <w:tabs>
          <w:tab w:leader="none" w:pos="194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and warrants that (i) it is fully authorized by action of the Board (and of any other Person or body whose action is required) to enter into this Agreement and to perform its obligations under it, (ii) the execution, delivery and performance of this Agreement by it does not violate any applicable law, regulation, order, judgment or decree or any agreement, arrangement, plan or corporate governance document to which it is a party or by which it is bound, and (iii) upon the execution and delivery of this Agreement by the Parties, this Agreement shall be a valid and binding obligation of the Company, enforceable against it in accordance with its terms, except to the extent that enforceability may be limited by applicable bankruptcy, insolvency or similar laws affecting the enforcement of creditors’ rights generally.</w:t>
      </w:r>
    </w:p>
    <w:p>
      <w:pPr>
        <w:spacing w:after="0" w:line="207"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w:t>
      </w:r>
      <w:r>
        <w:rPr>
          <w:rFonts w:ascii="Times New Roman" w:cs="Times New Roman" w:eastAsia="Times New Roman" w:hAnsi="Times New Roman"/>
          <w:sz w:val="22"/>
          <w:szCs w:val="22"/>
          <w:color w:val="auto"/>
        </w:rPr>
        <w:t>. Neither the Company nor Executive shall make any oral or written statement about the other Party which is intended or reasonably likely to disparage the other Party, or otherwise degrade the other Party’s reputation in the business or legal community or in the telecommunications industry.</w:t>
      </w:r>
    </w:p>
    <w:p>
      <w:pPr>
        <w:spacing w:after="0" w:line="194"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Corrupt Practices Act</w:t>
      </w:r>
      <w:r>
        <w:rPr>
          <w:rFonts w:ascii="Times New Roman" w:cs="Times New Roman" w:eastAsia="Times New Roman" w:hAnsi="Times New Roman"/>
          <w:sz w:val="22"/>
          <w:szCs w:val="22"/>
          <w:color w:val="auto"/>
        </w:rPr>
        <w:t>. Executive agrees to comply in all material respects with the applicable provisions of the U.S. Foreign Corrupt Practices Act of 1977, as amended (the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which provides generally that: under no circumstances will foreign officials, representatives, political parties or holders of public offices be offered, promised or paid any money, remuneration, things of value, or provided any other benefit, direct or indirect, in connection with obtaining or maintaining contracts or orders hereunder. When any representative, employee, agent, or other individual or organization associated with Executive is required to perform any obligation related to or in connection with this Agreement, the substance of this section shall be imposed upon such person and included in any agreement between Executive and any such person. A material violation by Executive of the provisions of the FCPA shall constitute a material breach of this Agreement and shall entitle the Company to terminate Executive’s employment for Cause in accordance with Section 10(a)(iii).</w:t>
      </w:r>
    </w:p>
    <w:p>
      <w:pPr>
        <w:spacing w:after="0" w:line="225"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and Sales of the Company’s Securities</w:t>
      </w:r>
      <w:r>
        <w:rPr>
          <w:rFonts w:ascii="Times New Roman" w:cs="Times New Roman" w:eastAsia="Times New Roman" w:hAnsi="Times New Roman"/>
          <w:sz w:val="22"/>
          <w:szCs w:val="22"/>
          <w:color w:val="auto"/>
        </w:rPr>
        <w:t>. Executive has read and agrees to comply in all respects with the Company’s Policy Regarding the Purchase and Sale of the Company’s Securities by Employees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the Policy may be amended from time to time. Specifically, and without limitation, Executive agrees that Executive shall not purchase or sell stock in the Company at any time (a) that Executive possesses material non-public information about the Company or any of its businesses; and (b) during any “Trading Blackout Period” as may be determined by the Company as set forth in the Policy from time to time.</w:t>
      </w:r>
    </w:p>
    <w:p>
      <w:pPr>
        <w:spacing w:after="0" w:line="22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Anything to the contrary notwithstanding, all payments required to be made by the Company hereunder to Executive or his estate or beneficiary shall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1" w:right="339" w:bottom="1440" w:gutter="0" w:footer="0" w:header="0"/>
        </w:sectPr>
      </w:pPr>
    </w:p>
    <w:bookmarkStart w:id="137" w:name="page138"/>
    <w:bookmarkEnd w:id="137"/>
    <w:p>
      <w:pPr>
        <w:spacing w:after="0" w:line="271" w:lineRule="auto"/>
        <w:rPr>
          <w:sz w:val="20"/>
          <w:szCs w:val="20"/>
          <w:color w:val="auto"/>
        </w:rPr>
      </w:pPr>
      <w:r>
        <w:rPr>
          <w:rFonts w:ascii="Times New Roman" w:cs="Times New Roman" w:eastAsia="Times New Roman" w:hAnsi="Times New Roman"/>
          <w:sz w:val="22"/>
          <w:szCs w:val="22"/>
          <w:color w:val="auto"/>
        </w:rPr>
        <w:t>the withholding of such amounts, if any, relating to tax and other payroll deductions as the Company may reasonably determine it should withhold pursuant to applicable law or regulation, and other withholding amounts authorized by Executive.</w:t>
      </w:r>
    </w:p>
    <w:p>
      <w:pPr>
        <w:spacing w:after="0" w:line="185" w:lineRule="exact"/>
        <w:rPr>
          <w:sz w:val="20"/>
          <w:szCs w:val="20"/>
          <w:color w:val="auto"/>
        </w:rPr>
      </w:pPr>
    </w:p>
    <w:p>
      <w:pPr>
        <w:jc w:val="both"/>
        <w:ind w:firstLine="656"/>
        <w:spacing w:after="0" w:line="253" w:lineRule="auto"/>
        <w:tabs>
          <w:tab w:leader="none" w:pos="129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written notice required by this Agreement will be deemed provided and delivered to the intended recipient when (a) delivered in person by hand; (b) on the date of transmission, if delivered by confirmed facsimile; (c) three (3) calendar days after being sent via U.S. certified mail, return receipt requested; or (d) the calendar day after being sent via overnight courier, in each case when such notice is properly addressed to the following address and with all postage and similar fees having been paid in advance:</w:t>
      </w: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Charter Communications, Inc.</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400 Washington Blvd.</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Stamford, Connecticut 06902</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Facsimile: (203) 564-1377</w:t>
      </w:r>
    </w:p>
    <w:p>
      <w:pPr>
        <w:spacing w:after="0" w:line="247" w:lineRule="exact"/>
        <w:rPr>
          <w:sz w:val="20"/>
          <w:szCs w:val="20"/>
          <w:color w:val="auto"/>
        </w:rPr>
      </w:pPr>
    </w:p>
    <w:p>
      <w:pPr>
        <w:ind w:left="1300"/>
        <w:spacing w:after="0" w:line="271" w:lineRule="auto"/>
        <w:rPr>
          <w:sz w:val="20"/>
          <w:szCs w:val="20"/>
          <w:color w:val="auto"/>
        </w:rPr>
      </w:pPr>
      <w:r>
        <w:rPr>
          <w:rFonts w:ascii="Times New Roman" w:cs="Times New Roman" w:eastAsia="Times New Roman" w:hAnsi="Times New Roman"/>
          <w:sz w:val="22"/>
          <w:szCs w:val="22"/>
          <w:color w:val="auto"/>
        </w:rPr>
        <w:t>If to Executive, to the home address and facsimile number of Executive most recently on file in the records of the Company;</w:t>
      </w:r>
    </w:p>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Either Party may change the address to which notices, requests, demands and other communications to such Party shall be delivered personally or mailed by giving written notice to the other Party in the manner described above.</w:t>
      </w:r>
    </w:p>
    <w:p>
      <w:pPr>
        <w:spacing w:after="0" w:line="185" w:lineRule="exact"/>
        <w:rPr>
          <w:sz w:val="20"/>
          <w:szCs w:val="20"/>
          <w:color w:val="auto"/>
        </w:rPr>
      </w:pPr>
    </w:p>
    <w:p>
      <w:pPr>
        <w:ind w:firstLine="656"/>
        <w:spacing w:after="0" w:line="271" w:lineRule="auto"/>
        <w:tabs>
          <w:tab w:leader="none" w:pos="12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for the benefit of and binding upon the Parties hereto and their respective heirs, personal representatives, legal representatives, successors and, where applicable, assigns.</w:t>
      </w:r>
    </w:p>
    <w:p>
      <w:pPr>
        <w:spacing w:after="0" w:line="184"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contains the entire agreement among the Parties with respect to its specific subject matter and supersedes any prior oral and written communications, agreements and understandings among the Parties concerning the specific subject matter hereof, including, without limitation, the Prior Employment Agreement. This Agreement may not be modified, amended, altered, waived or rescinded in any manner, except by written instrument signed by both of the Parties hereto that expressly refers to the provision of this Agreement that is being modified, amended, altered, waived or rescinded;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waiver by either Party of a breach or compliance with any provision of this Agreement shall not operate nor be construed as a waiver of any subsequent breach or compliance.</w:t>
      </w:r>
    </w:p>
    <w:p>
      <w:pPr>
        <w:spacing w:after="0" w:line="206" w:lineRule="exact"/>
        <w:rPr>
          <w:rFonts w:ascii="Times New Roman" w:cs="Times New Roman" w:eastAsia="Times New Roman" w:hAnsi="Times New Roman"/>
          <w:sz w:val="22"/>
          <w:szCs w:val="22"/>
          <w:color w:val="auto"/>
        </w:rPr>
      </w:pPr>
    </w:p>
    <w:p>
      <w:pPr>
        <w:jc w:val="both"/>
        <w:ind w:firstLine="656"/>
        <w:spacing w:after="0" w:line="275" w:lineRule="auto"/>
        <w:tabs>
          <w:tab w:leader="none" w:pos="129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In case any one or more of the provisions of this Agreement shall be held by any court of competent jurisdiction or any arbitrator selected in accordance with the terms hereof to be illegal, invalid or unenforceable in any respect, such provision shall have no force and effect, but such holding shall not affect the legality, validity or enforceability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1" w:right="339" w:bottom="1440" w:gutter="0" w:footer="0" w:header="0"/>
        </w:sectPr>
      </w:pPr>
    </w:p>
    <w:bookmarkStart w:id="138" w:name="page139"/>
    <w:bookmarkEnd w:id="138"/>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other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provisions held illegal, invalid or unenforceable do not reflect or manifest a fundamental benefit bargained for by a Party hereto.</w:t>
      </w:r>
    </w:p>
    <w:p>
      <w:pPr>
        <w:spacing w:after="0" w:line="185" w:lineRule="exact"/>
        <w:rPr>
          <w:sz w:val="20"/>
          <w:szCs w:val="20"/>
          <w:color w:val="auto"/>
        </w:rPr>
      </w:pPr>
    </w:p>
    <w:p>
      <w:pPr>
        <w:jc w:val="both"/>
        <w:ind w:firstLine="656"/>
        <w:spacing w:after="0" w:line="252" w:lineRule="auto"/>
        <w:tabs>
          <w:tab w:leader="none" w:pos="129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Without limitation of Executive’s right to terminate for Good Reason under Section 10(a)(iv), this Agreement can be assigned by the Company only to a company that controls, is controlled by, or is under common control with the Company and which assumes all of the Company’s obligations hereunder. The duties and covenants of Executive under this Agreement, being personal, may not be assigned or delegated except that Executive may assign payments due hereunder to a trust established for the benefit of Executive’s family or to Executive’s estate or to any partnership or trust entered into by Executive and/or Executive’s immediate family members (meaning Executive’s spouse and lineal descendants). This Agreement shall be binding in all respects on permissible assignees.</w:t>
      </w:r>
    </w:p>
    <w:p>
      <w:pPr>
        <w:spacing w:after="0" w:line="20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w:t>
      </w:r>
      <w:r>
        <w:rPr>
          <w:rFonts w:ascii="Times New Roman" w:cs="Times New Roman" w:eastAsia="Times New Roman" w:hAnsi="Times New Roman"/>
          <w:sz w:val="22"/>
          <w:szCs w:val="22"/>
          <w:color w:val="auto"/>
        </w:rPr>
        <w:t xml:space="preserve"> In order to preserve the Company’s rights under this Agreement, the Company is authorized to advise any third party with whom Executive may become employed or enter into any business or contractual relationship with, or whom Executive may contact for any such purpose, of the existence of this Agreement and its terms, and the Company shall not be liable for doing so.</w:t>
      </w:r>
    </w:p>
    <w:p>
      <w:pPr>
        <w:spacing w:after="0" w:line="20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Law/Jurisdiction</w:t>
      </w:r>
      <w:r>
        <w:rPr>
          <w:rFonts w:ascii="Times New Roman" w:cs="Times New Roman" w:eastAsia="Times New Roman" w:hAnsi="Times New Roman"/>
          <w:sz w:val="22"/>
          <w:szCs w:val="22"/>
          <w:color w:val="auto"/>
        </w:rPr>
        <w:t>. This Agreement is deemed to be accepted and entered into in Delaware. Executive and the Company intend and hereby acknowledge that jurisdiction over disputes with regard to this Agreement, and over all aspects of the relationship between the Parties, shall be governed by the laws of the State of Delaware without giving effect to its rules governing conflicts of laws. With respect to orders in aid or enforcement of arbitration awards and injunctive relief, venue and jurisdiction are proper in any county in Delaware, and (if federal jurisdiction exists) any United States District Court in Delaware, and the Parties waive all objections to jurisdiction and venue in any such forum and any defense that such forum is not the most convenient forum.</w:t>
      </w:r>
    </w:p>
    <w:p>
      <w:pPr>
        <w:spacing w:after="0" w:line="206"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Any claim or dispute between the Parties arising out of or relating to this Agreement, any other agreement between the Parties, Executive’s employment with the Company, or any termination thereof (collectively, “</w:t>
      </w:r>
      <w:r>
        <w:rPr>
          <w:rFonts w:ascii="Times New Roman" w:cs="Times New Roman" w:eastAsia="Times New Roman" w:hAnsi="Times New Roman"/>
          <w:sz w:val="22"/>
          <w:szCs w:val="22"/>
          <w:u w:val="single" w:color="auto"/>
          <w:color w:val="auto"/>
        </w:rPr>
        <w:t>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shall (except to the extent otherwise provided in Section 15(e) with respect to certain requests for injunctive relief) be resolved by binding confidential arbitration, to be held in Wilmington, Delaware, before a panel of three arbitrators in accordance with the National Rules for Resolution of Employment Disputes of the American Arbitration Association and this Section 28. Judgment upon the award rendered by the arbitrators may be entered in any court having jurisdiction thereof. Pending the resolution of any Covered Claim, Executive (and his beneficiaries) shall continue to receive all payments and benefits due under this Agreement or otherwise, except to the extent that the arbitrators otherwise provide. The Company shall reimburse Executive for all costs and expenses (including, without limitation, legal, tax and accounting fees) incurred by him in any arbitration under this Section 28, to the extent he substantially prevails in any such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1" w:right="339" w:bottom="1440" w:gutter="0" w:footer="0" w:header="0"/>
        </w:sectPr>
      </w:pPr>
    </w:p>
    <w:bookmarkStart w:id="139" w:name="page140"/>
    <w:bookmarkEnd w:id="139"/>
    <w:p>
      <w:pPr>
        <w:ind w:right="20" w:firstLine="656"/>
        <w:spacing w:after="0" w:line="271" w:lineRule="auto"/>
        <w:tabs>
          <w:tab w:leader="none" w:pos="12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section headings contained in this Agreement are for reference purposes only and shall not affect in any manner the meaning or interpretation of this Agreement.</w:t>
      </w:r>
    </w:p>
    <w:p>
      <w:pPr>
        <w:spacing w:after="0" w:line="184"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deemed an original, but all of which taken together shall constitute one and the same instrument. This Agreement may also be executed by delivery of facsimile or “.pdf” signatures, which shall be effective for all purposes.</w:t>
      </w:r>
    </w:p>
    <w:p>
      <w:pPr>
        <w:spacing w:after="0" w:line="19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41"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intended to comply with Section 409A of the Code or an exemption thereto, and, to the extent necessary in order to avoid the imposition of a penalty tax on Executive under Section 409A of the Code, payments may only be made under this Agreement upon an event and in a manner permitted by Section 409A of the Code. Any payments or benefits that are provided upon a termination of employment shall, to the extent necessary in order to avoid the imposition of a penalty tax on Executive under Section 409A of the Code, not be provided unless such termination constitutes a “separation from service” within the meaning of Section 409A of the Code. Any payments that qualify for the “short term deferral” exception or another exception under Section 409A of the Code shall be paid under the applicable exception. Notwithstanding anything in this Agreement to the contrary, if Executive is considered a “specified employee” (as defined in Section 409A of the Code), any amounts paid or provided under this Agreement shall, to the extent necessary in order to avoid the imposition of a penalty tax on Executive under Section 409A of the Code, be delayed for six (6) months after Executive’s “separation from service” within the meaning of Section 409A of the Code, and the accumulated amounts shall be paid in a lump sum within ten (10) calendar days after the end of the six (6)-month period. If Executive dies during the six (6)-month postponement period prior to the payment of benefits, the amounts the payment of which is deferred on account of Section 409A of the Code shall be paid to the personal representative of Executive’s estate within sixty (60) calendar days after the date of Executive’s death.</w:t>
      </w:r>
    </w:p>
    <w:p>
      <w:pPr>
        <w:spacing w:after="0" w:line="197" w:lineRule="exact"/>
        <w:rPr>
          <w:rFonts w:ascii="Times New Roman" w:cs="Times New Roman" w:eastAsia="Times New Roman" w:hAnsi="Times New Roman"/>
          <w:sz w:val="21"/>
          <w:szCs w:val="21"/>
          <w:color w:val="auto"/>
        </w:rPr>
      </w:pPr>
    </w:p>
    <w:p>
      <w:pPr>
        <w:jc w:val="both"/>
        <w:ind w:firstLine="1304"/>
        <w:spacing w:after="0" w:line="261" w:lineRule="auto"/>
        <w:tabs>
          <w:tab w:leader="none" w:pos="1939"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Section 409A of the Code, the right to a series of installment payments under this Agreement shall be treated as a right to a series of separate payments. In no event may Executive, directly or indirectly, designate the calendar year of a payment. All reimbursements and in kind benefits provided under this Agreement shall be made or provided in accordance with the requirements of Section 409A of the Code, including, where applicable, the requirement that (i) any reimbursement is for expenses incurred during the period of time specified in this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calendar day of the calendar year following the year in which the expense is incurred, and (iv) the right to reimbursement or in kind benefits is not subject to liquidation or exchange for another benefit.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the date and year first above written.</w:t>
      </w:r>
    </w:p>
    <w:p>
      <w:pPr>
        <w:spacing w:after="0" w:line="200" w:lineRule="exact"/>
        <w:rPr>
          <w:sz w:val="20"/>
          <w:szCs w:val="20"/>
          <w:color w:val="auto"/>
        </w:rPr>
      </w:pPr>
    </w:p>
    <w:p>
      <w:pPr>
        <w:spacing w:after="0" w:line="3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CHARTER COMMUNICATIONS, INC.</w:t>
      </w:r>
    </w:p>
    <w:p>
      <w:pPr>
        <w:spacing w:after="0" w:line="287" w:lineRule="exact"/>
        <w:rPr>
          <w:sz w:val="20"/>
          <w:szCs w:val="20"/>
          <w:color w:val="auto"/>
        </w:rPr>
      </w:pPr>
    </w:p>
    <w:tbl>
      <w:tblPr>
        <w:tblLayout w:type="fixed"/>
        <w:tblInd w:w="2100" w:type="dxa"/>
        <w:tblCellMar>
          <w:top w:w="0" w:type="dxa"/>
          <w:left w:w="0" w:type="dxa"/>
          <w:bottom w:w="0" w:type="dxa"/>
          <w:right w:w="0" w:type="dxa"/>
        </w:tblCellMar>
      </w:tblP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Adam Ray</w:t>
            </w:r>
          </w:p>
        </w:tc>
      </w:tr>
      <w:tr>
        <w:trPr>
          <w:trHeight w:val="265"/>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Adam Ray</w:t>
            </w:r>
          </w:p>
        </w:tc>
      </w:tr>
      <w:tr>
        <w:trPr>
          <w:trHeight w:val="263"/>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Executive Vice President, Chief Commercial Officer</w:t>
            </w:r>
          </w:p>
        </w:tc>
      </w:tr>
      <w:tr>
        <w:trPr>
          <w:trHeight w:val="51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EXECUTIVE</w:t>
            </w:r>
          </w:p>
        </w:tc>
        <w:tc>
          <w:tcPr>
            <w:tcW w:w="6960" w:type="dxa"/>
            <w:vAlign w:val="bottom"/>
          </w:tcPr>
          <w:p>
            <w:pPr>
              <w:spacing w:after="0"/>
              <w:rPr>
                <w:sz w:val="24"/>
                <w:szCs w:val="24"/>
                <w:color w:val="auto"/>
              </w:rPr>
            </w:pPr>
          </w:p>
        </w:tc>
      </w:tr>
    </w:tbl>
    <w:p>
      <w:pPr>
        <w:spacing w:after="0" w:line="2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/s/ Adam Ray</w:t>
      </w:r>
    </w:p>
    <w:p>
      <w:pPr>
        <w:spacing w:after="0" w:line="3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 Adam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-160020</wp:posOffset>
            </wp:positionV>
            <wp:extent cx="53917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93">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ectPr>
          <w:pgSz w:w="11900" w:h="16838" w:orient="portrait"/>
          <w:cols w:equalWidth="0" w:num="1">
            <w:col w:w="10580"/>
          </w:cols>
          <w:pgMar w:left="980" w:top="1421" w:right="339" w:bottom="1440" w:gutter="0" w:footer="0" w:header="0"/>
        </w:sectPr>
      </w:pPr>
    </w:p>
    <w:bookmarkStart w:id="141" w:name="page142"/>
    <w:bookmarkEnd w:id="141"/>
    <w:p>
      <w:pPr>
        <w:jc w:val="center"/>
        <w:ind w:right="312"/>
        <w:spacing w:after="0"/>
        <w:rPr>
          <w:sz w:val="20"/>
          <w:szCs w:val="20"/>
          <w:color w:val="auto"/>
        </w:rPr>
      </w:pPr>
      <w:r>
        <w:rPr>
          <w:rFonts w:ascii="Times New Roman" w:cs="Times New Roman" w:eastAsia="Times New Roman" w:hAnsi="Times New Roman"/>
          <w:sz w:val="22"/>
          <w:szCs w:val="22"/>
          <w:u w:val="single" w:color="auto"/>
          <w:color w:val="auto"/>
        </w:rPr>
        <w:t>SCHEDULE 1</w:t>
      </w:r>
    </w:p>
    <w:p>
      <w:pPr>
        <w:spacing w:after="0" w:line="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u w:val="single" w:color="auto"/>
          <w:color w:val="auto"/>
        </w:rPr>
        <w:t>COMPETITIVE BUSINESS ACTIVITIES</w:t>
      </w:r>
    </w:p>
    <w:p>
      <w:pPr>
        <w:spacing w:after="0" w:line="223" w:lineRule="exact"/>
        <w:rPr>
          <w:sz w:val="20"/>
          <w:szCs w:val="20"/>
          <w:color w:val="auto"/>
        </w:rPr>
      </w:pPr>
    </w:p>
    <w:p>
      <w:pPr>
        <w:jc w:val="both"/>
        <w:ind w:left="328" w:hanging="328"/>
        <w:spacing w:after="0" w:line="247" w:lineRule="auto"/>
        <w:tabs>
          <w:tab w:leader="none" w:pos="32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distribution of video programming to consumer or commercial customers or users on a retail or wholesale basis, whether by analog or digital technology, to any type of end-user equipment (television, computer, phone, personal digital assistant, tablet, console or other), and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competitive video programming distribution as of the date hereof: Alphabet Inc. (including Google Fiber, YouTube and YouTube TV); Altice USA, Inc.; Amazon.com, Inc. (including Amazon Prime); Apple Inc. (including Apple TV+); AT&amp;T Inc. (including AT&amp;T TV and HBO Max); Cable One, Inc.; Cincinnati Bell Inc. (including Hawaiian Telecom); Comcast Corporation (including Peacock); Cox Communications, Inc.; DIRECTV; DISH Network Corporation; EchoStar Corporation (including Sling Media and Sling TV); Endeavor Streaming; Fox Corporation; Frontier Communications Parent, Inc.; Grande Communications Networks, LLC; Lumen Technologies, Inc.; Mediacom Communications Corporation; Meta Platforms, Inc.; Microsoft Corporation (including Xbox); Netflix, Inc.; Philo; Public Broadcasting Service and its broadcast affiliates; RCN Telecom Services, LLC; Redbox Entertainment Inc.; Roku, Inc.; Sony Corporation of America (including PlayStation); Starz; Showtime Anytime; The Walt Disney Company (including ABC, Disney+ and Hulu); T-Mobile US, Inc.; TiVo Corporation.; Verizon Communications, Inc.; Paramount Global (including Paramount+ and Pluto TV); VUDU, Inc.; Walmart Inc.; and WideOpenWest, Inc.</w:t>
      </w:r>
    </w:p>
    <w:p>
      <w:pPr>
        <w:spacing w:after="0" w:line="231" w:lineRule="exact"/>
        <w:rPr>
          <w:rFonts w:ascii="Times New Roman" w:cs="Times New Roman" w:eastAsia="Times New Roman" w:hAnsi="Times New Roman"/>
          <w:sz w:val="22"/>
          <w:szCs w:val="22"/>
          <w:color w:val="auto"/>
        </w:rPr>
      </w:pPr>
    </w:p>
    <w:p>
      <w:pPr>
        <w:jc w:val="both"/>
        <w:ind w:left="328" w:hanging="328"/>
        <w:spacing w:after="0" w:line="248" w:lineRule="auto"/>
        <w:tabs>
          <w:tab w:leader="none" w:pos="32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Internet access or portal service (including related applications and services) to consumer or commercial customers or users, on a retail or wholesale basis, whether by analog or digital technology, to any type of end-user equipment (television, computer, phone, personal digital assistant, tablet, console or other), and by any distribution platform (including dial-up, coaxial cable, fiber optic cable, digital subscriber line, power line, satellite and wireless) or protocol (IP or other). Executive agrees that the following companies (and their parents, subsidiaries and controlled affiliates), and their successors and assigns, are among those engaged in competitive high-speed Internet access and/or portal service as of the date hereof: Alphabet Inc. (including Google Fiber); Altice USA, Inc.; AT&amp;T Inc.; Cable One, Inc.; Cincinnati Bell Inc. (including Hawaiian Telecom); Comcast Corporation; Cox Communications, Inc.; DIRECTV; DISH Network Corporation; EchoStar Corporation (including Sling Media); Frontier Communications Parent, Inc.; Lumen Technologies, Inc.; Mediacom Communications Corporation; Microsoft Corporation (including MSN); RCN Telecom Services, LLC; T-Mobile US, Inc.; Verizon Communications, Inc. (including AOL); Windstream Holdings, Inc.; and WideOpenWest,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0908"/>
          </w:cols>
          <w:pgMar w:left="652" w:top="1421" w:right="339" w:bottom="1440" w:gutter="0" w:footer="0" w:header="0"/>
        </w:sectPr>
      </w:pPr>
    </w:p>
    <w:bookmarkStart w:id="142" w:name="page143"/>
    <w:bookmarkEnd w:id="142"/>
    <w:p>
      <w:pPr>
        <w:jc w:val="both"/>
        <w:ind w:left="328" w:hanging="328"/>
        <w:spacing w:after="0" w:line="261" w:lineRule="auto"/>
        <w:tabs>
          <w:tab w:leader="none" w:pos="32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 of voice and/or data service or transport to consumer or commercial customers or users, on a retail or wholesale business, whether by analog or digital technology, by any distribution platform (including coaxial cable, fiber optic cable, digital subscriber line, power line, satellite, wireless and Internet) or protocol (IP or other). Executive agrees that the following companies (and their parents, subsidiaries and controlled affiliates), and their successors and assigns, are among those engaged in competitive voice and/or data service or transport as of the date hereof: Allstream Inc.; Altice USA, Inc.; AT&amp;T Inc.; Cincinnati Bell Inc. (including Hawaiian Telecom); Comcast Corporation; Cox Communications, Inc.; DIRECTV; DISH Network Corporation; EarthLink Holdings Corp.; EchoStar Corporation (including Sling Media); Frontier Communications Parent, Inc.; Fusion Cloud Services, LLC; Alphabet Inc. (including Google Fiber and Google Voice); Lumen Technologies, Inc.; Lumos Networks Corp.; magicJack; Microsoft Corporation (including Skype); Ooma, Inc.; RCN Telecom Services, LLC; T-Mobile US, Inc.; Verizon Communications, Inc.; Vonage Holdings Corp.; WideOpenWest, Inc.; Windstream Holdings, Inc.; and Zayo Group Holdings, Inc.</w:t>
      </w:r>
    </w:p>
    <w:p>
      <w:pPr>
        <w:spacing w:after="0" w:line="202" w:lineRule="exact"/>
        <w:rPr>
          <w:rFonts w:ascii="Times New Roman" w:cs="Times New Roman" w:eastAsia="Times New Roman" w:hAnsi="Times New Roman"/>
          <w:sz w:val="21"/>
          <w:szCs w:val="21"/>
          <w:color w:val="auto"/>
        </w:rPr>
      </w:pPr>
    </w:p>
    <w:p>
      <w:pPr>
        <w:jc w:val="both"/>
        <w:ind w:left="328" w:hanging="328"/>
        <w:spacing w:after="0" w:line="250" w:lineRule="auto"/>
        <w:tabs>
          <w:tab w:leader="none" w:pos="42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wireless communications services to consumer or commercial customers or users, on a retail or wholesale basis, whether by analog or digital technology, to any type of end-user equipment (television, computer, phone, personal digital assistant, tablet, console or other) and by any technology or protocol (IP or other). Executive agrees that the following companies (and their parents, subsidiaries and controlled affiliates), and their successor and assigns, are among those engaged in the provision of competitive wireless service as of the date hereof: AT&amp;T Inc.; Boingo Wireless, Inc.; DISH Network Corporation; T-Mobile US, Inc. (including Metro); Verizon Communications, Inc.; and Windstream Holdings, Inc.</w:t>
      </w:r>
    </w:p>
    <w:p>
      <w:pPr>
        <w:spacing w:after="0" w:line="207" w:lineRule="exact"/>
        <w:rPr>
          <w:rFonts w:ascii="Times New Roman" w:cs="Times New Roman" w:eastAsia="Times New Roman" w:hAnsi="Times New Roman"/>
          <w:sz w:val="22"/>
          <w:szCs w:val="22"/>
          <w:color w:val="auto"/>
        </w:rPr>
      </w:pPr>
    </w:p>
    <w:p>
      <w:pPr>
        <w:jc w:val="both"/>
        <w:ind w:left="328" w:hanging="328"/>
        <w:spacing w:after="0" w:line="262" w:lineRule="auto"/>
        <w:tabs>
          <w:tab w:leader="none" w:pos="325"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other provision of advertising to commercial customers, directly or indirectly through representation groups, cooperatives or otherwise, on a retail or wholesale basis, for distribution by analog or digital technology, to any type of end-user equipment (television, computer, phone, personal digital assistant, tablet, console or other),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such competitive activities as of the date hereof; Alphabet Inc. (including YouTube); Altice USA, Inc.; Apple, Inc.; AT&amp;T Inc.; Comcast Corporation; Cox Communications, Inc.; DIRECTV; DISH Network Corporation; EchoStar Corporation (including Sling Media); Meta Platforms, Inc.; Microsoft Corporation (including MSN); RCN Telecom Services, LLC; Verizon Communications, Inc. (including AOL); Viamedia, Inc.; and WideOpenWest, Inc.</w:t>
      </w:r>
    </w:p>
    <w:p>
      <w:pPr>
        <w:spacing w:after="0" w:line="1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[End of 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0908"/>
          </w:cols>
          <w:pgMar w:left="652" w:top="1421"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RELEASE</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This Release of Claims (this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is entered into as of the “Date of Termination” (as defined in that certain Employment Agreement, dated as of _______________, 2022, to which ADAM RAY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and CHARTER COMMUNICATIONS,</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are parties, as such agreement is from time to time amended in accordance with its terms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 by Executive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41"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 11(g) of the Employment Agreement, Executive, with the intention of binding himself and his heirs, executors, administrators and assigns (collectively, and together with Executive, the “</w:t>
      </w:r>
      <w:r>
        <w:rPr>
          <w:rFonts w:ascii="Times New Roman" w:cs="Times New Roman" w:eastAsia="Times New Roman" w:hAnsi="Times New Roman"/>
          <w:sz w:val="21"/>
          <w:szCs w:val="21"/>
          <w:u w:val="single" w:color="auto"/>
          <w:color w:val="auto"/>
        </w:rPr>
        <w:t>Executive Releasors</w:t>
      </w:r>
      <w:r>
        <w:rPr>
          <w:rFonts w:ascii="Times New Roman" w:cs="Times New Roman" w:eastAsia="Times New Roman" w:hAnsi="Times New Roman"/>
          <w:sz w:val="21"/>
          <w:szCs w:val="21"/>
          <w:color w:val="auto"/>
        </w:rPr>
        <w:t>”), hereby releases, remises, acquits and forever discharges the Company and each of its subsidiaries and affiliates (the “</w:t>
      </w:r>
      <w:r>
        <w:rPr>
          <w:rFonts w:ascii="Times New Roman" w:cs="Times New Roman" w:eastAsia="Times New Roman" w:hAnsi="Times New Roman"/>
          <w:sz w:val="21"/>
          <w:szCs w:val="21"/>
          <w:u w:val="single" w:color="auto"/>
          <w:color w:val="auto"/>
        </w:rPr>
        <w:t>Company Affiliated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Group</w:t>
      </w:r>
      <w:r>
        <w:rPr>
          <w:rFonts w:ascii="Times New Roman" w:cs="Times New Roman" w:eastAsia="Times New Roman" w:hAnsi="Times New Roman"/>
          <w:sz w:val="21"/>
          <w:szCs w:val="21"/>
          <w:color w:val="auto"/>
        </w:rPr>
        <w:t>”), and their past and present directors, employees, agents, attorneys, accountants, representatives, plan fiduciaries, and the successors, predecessors and assigns of each of the foregoing (collectively, and together with the members of the Company Affiliated Group, the “</w:t>
      </w:r>
      <w:r>
        <w:rPr>
          <w:rFonts w:ascii="Times New Roman" w:cs="Times New Roman" w:eastAsia="Times New Roman" w:hAnsi="Times New Roman"/>
          <w:sz w:val="21"/>
          <w:szCs w:val="21"/>
          <w:u w:val="single" w:color="auto"/>
          <w:color w:val="auto"/>
        </w:rPr>
        <w:t>Company Released Parties</w:t>
      </w:r>
      <w:r>
        <w:rPr>
          <w:rFonts w:ascii="Times New Roman" w:cs="Times New Roman" w:eastAsia="Times New Roman" w:hAnsi="Times New Roman"/>
          <w:sz w:val="21"/>
          <w:szCs w:val="21"/>
          <w:color w:val="auto"/>
        </w:rPr>
        <w:t>”),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or unknown, suspected or unsuspected, that arise out of, or relate in any way to, events occurring on or before the date hereof relating to Executive’s employment or the termination of such employment (collectively, “</w:t>
      </w:r>
      <w:r>
        <w:rPr>
          <w:rFonts w:ascii="Times New Roman" w:cs="Times New Roman" w:eastAsia="Times New Roman" w:hAnsi="Times New Roman"/>
          <w:sz w:val="21"/>
          <w:szCs w:val="21"/>
          <w:u w:val="single" w:color="auto"/>
          <w:color w:val="auto"/>
        </w:rPr>
        <w:t>Released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and that Executive, individually or as a member of a class, now has, owns or holds, or has at any time heretofore had, owned or held, against any Company Released Party in any capacity, including any and all Released Claims (i) arising out of or in any way connected with Executive’s service to any member of the Company Affiliated Group (or the predecessors thereof) in any capacity (including as an employee, officer or director), or the termination of such service in any such capacity, (ii) for severance or vacation benefits, unpaid wages, salary or incentive payments, (iii) for breach of contract, wrongful discharge, impairment of economic opportunity, defamation, intentional infliction of emotional harm or other tort, (iv) for any violation of applicable federal, state and local labor and employment laws (including all laws concerning unlawful and unfair labor and employment practices) and (v) for employment discrimination under any applicable federal, state or local statute, provision, order or regulation, and including, without limitation, any claim under Title VII of the Civil Rights Act of 1964 (“</w:t>
      </w:r>
      <w:r>
        <w:rPr>
          <w:rFonts w:ascii="Times New Roman" w:cs="Times New Roman" w:eastAsia="Times New Roman" w:hAnsi="Times New Roman"/>
          <w:sz w:val="21"/>
          <w:szCs w:val="21"/>
          <w:u w:val="single" w:color="auto"/>
          <w:color w:val="auto"/>
        </w:rPr>
        <w:t>Title VII</w:t>
      </w:r>
      <w:r>
        <w:rPr>
          <w:rFonts w:ascii="Times New Roman" w:cs="Times New Roman" w:eastAsia="Times New Roman" w:hAnsi="Times New Roman"/>
          <w:sz w:val="21"/>
          <w:szCs w:val="21"/>
          <w:color w:val="auto"/>
        </w:rPr>
        <w:t>”), the Age Discrimination in Employment Act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and any similar or analogous state statute, excepting only that no claim in respect of any of the following rights shall constitute a Released Claim:</w:t>
      </w:r>
    </w:p>
    <w:p>
      <w:pPr>
        <w:spacing w:after="0" w:line="211" w:lineRule="exact"/>
        <w:rPr>
          <w:sz w:val="20"/>
          <w:szCs w:val="20"/>
          <w:color w:val="auto"/>
        </w:rPr>
      </w:pPr>
    </w:p>
    <w:p>
      <w:pPr>
        <w:ind w:left="1940" w:hanging="636"/>
        <w:spacing w:after="0"/>
        <w:tabs>
          <w:tab w:leader="none" w:pos="19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arising under, or preserved by, this Release or the Employment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6" w:lineRule="exact"/>
        <w:rPr>
          <w:rFonts w:ascii="Times New Roman" w:cs="Times New Roman" w:eastAsia="Times New Roman" w:hAnsi="Times New Roman"/>
          <w:sz w:val="22"/>
          <w:szCs w:val="22"/>
          <w:color w:val="auto"/>
        </w:rPr>
      </w:pPr>
    </w:p>
    <w:p>
      <w:pPr>
        <w:ind w:left="5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21" w:right="339" w:bottom="1440" w:gutter="0" w:footer="0" w:header="0"/>
        </w:sectPr>
      </w:pPr>
    </w:p>
    <w:bookmarkStart w:id="144" w:name="page145"/>
    <w:bookmarkEnd w:id="144"/>
    <w:p>
      <w:pPr>
        <w:jc w:val="both"/>
        <w:ind w:firstLine="1304"/>
        <w:spacing w:after="0" w:line="257" w:lineRule="auto"/>
        <w:tabs>
          <w:tab w:leader="none" w:pos="193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any right to indemnification under (i) applicable corporate law, (ii) the by-laws or certificate of incorporation of any Company Released Party, (iii) any other agreement between Executive and a Company Released Party or (iv) as an insured under any director’s and officer’s liability insurance policy now or previously in force; or</w:t>
      </w:r>
    </w:p>
    <w:p>
      <w:pPr>
        <w:spacing w:after="0" w:line="213"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any claim for benefits under any health, disability, retirement, life insurance or similar employee benefit plan of the Company Affiliated Group.</w:t>
      </w:r>
    </w:p>
    <w:p>
      <w:pPr>
        <w:spacing w:after="0" w:line="185" w:lineRule="exact"/>
        <w:rPr>
          <w:sz w:val="20"/>
          <w:szCs w:val="20"/>
          <w:color w:val="auto"/>
        </w:rPr>
      </w:pPr>
    </w:p>
    <w:p>
      <w:pPr>
        <w:jc w:val="both"/>
        <w:ind w:firstLine="1304"/>
        <w:spacing w:after="0" w:line="250" w:lineRule="auto"/>
        <w:tabs>
          <w:tab w:leader="none" w:pos="193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Executive Releasor shall file or cause to be filed any action, suit, claim, charge or proceeding with any governmental agency, court or tribunal relating to any Released Claim within the scope of this Section 1 (each, individually,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xml:space="preserve">”), and no Executive Releasor shall participate voluntarily in any Proceeding;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and subject to the immediately following sentence, nothing set forth herein is intended to or shall interfere with Executive’s right to participate in a Proceeding with any appropriate federal, state, or local government agency enforcing discrimination laws, nor shall this Agreement prohibit Executive from cooperating with any such agency in its investigation. Executive waives any right he may have to benefit in any manner from any relief (whether monetary or otherwise) arising out of any Proceeding.</w:t>
      </w:r>
    </w:p>
    <w:p>
      <w:pPr>
        <w:spacing w:after="0" w:line="207" w:lineRule="exact"/>
        <w:rPr>
          <w:rFonts w:ascii="Times New Roman" w:cs="Times New Roman" w:eastAsia="Times New Roman" w:hAnsi="Times New Roman"/>
          <w:sz w:val="22"/>
          <w:szCs w:val="22"/>
          <w:color w:val="auto"/>
        </w:rPr>
      </w:pPr>
    </w:p>
    <w:p>
      <w:pPr>
        <w:jc w:val="both"/>
        <w:ind w:firstLine="1304"/>
        <w:spacing w:after="0" w:line="268" w:lineRule="auto"/>
        <w:tabs>
          <w:tab w:leader="none" w:pos="1941"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Proceeding within the scope of this Section 1 is brought by any government agency, putative class representative or other third Party to vindicate any alleged rights of Executive, (i) Executive shall, except to the extent required or compelled by law, legal process or subpoena, refrain from participating, testifying or producing documents therein, and (ii) all damages, inclusive of attorneys’ fees, if any, required to be paid to Executive by the Company as a consequence of such Proceeding shall be repaid to the Company by Executive within ten (10) calendar days of his receipt thereof.</w:t>
      </w:r>
    </w:p>
    <w:p>
      <w:pPr>
        <w:spacing w:after="0" w:line="190"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3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and other benefits set forth in Sections 11(b)(A)-(C) of the Employment Agreement, to which Executive would not otherwise be entitled, are being paid to Executive in return for Executive’s execution and non-revocation of this Release and Executive’s agreements and covenants contained in the Employment Agreement. Executive acknowledges and agrees that the release of claims set forth in this Section 1 is not to be construed in any way as an admission of any liability whatsoever by any Company Released Party, any such liability being expressly denied.</w:t>
      </w:r>
    </w:p>
    <w:p>
      <w:pPr>
        <w:spacing w:after="0" w:line="20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release of claims set forth in this Section 1 applies to any relief in respect of any Released Claim of any kind, no matter how called, including wages, back pay, front pay, compensatory damages, liquidated damages, punitive damages, damages for pain or suffering, costs, and attorney’s fees and expenses. Executive specifically acknowledges that his acceptance of the terms of the release of claims set forth in this Section 1 is, among other things, a specific waiver of his rights, claims and causes of action under Title VII, ADEA and any state or local law or regulation in respect of discrimination of any kind;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herein shall be deemed, nor does anything contained herein purport, to be a waiver of any right or claim or cause of action which by law Executive is not permitted to waive.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21" w:right="339" w:bottom="1440" w:gutter="0" w:footer="0" w:header="0"/>
        </w:sectPr>
      </w:pPr>
    </w:p>
    <w:bookmarkStart w:id="145" w:name="page146"/>
    <w:bookmarkEnd w:id="145"/>
    <w:p>
      <w:pPr>
        <w:ind w:left="1300" w:hanging="644"/>
        <w:spacing w:after="0"/>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Execution of Release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BY HIS SIGNATURE BELOW, EXECUTIVE ACKNOWLEDGES THAT:</w:t>
      </w:r>
    </w:p>
    <w:p>
      <w:pPr>
        <w:spacing w:after="0" w:line="247" w:lineRule="exact"/>
        <w:rPr>
          <w:sz w:val="20"/>
          <w:szCs w:val="20"/>
          <w:color w:val="auto"/>
        </w:rPr>
      </w:pPr>
    </w:p>
    <w:p>
      <w:pPr>
        <w:ind w:firstLine="656"/>
        <w:spacing w:after="0" w:line="284" w:lineRule="auto"/>
        <w:tabs>
          <w:tab w:leader="none" w:pos="12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HAS RECEIVED A COPY OF THIS RELEASE AND WAS OFFERED A PERIOD OF TWENTY-ONE (21) DAYS TO REVIEW AND CONSIDER IT;</w:t>
      </w:r>
    </w:p>
    <w:p>
      <w:pPr>
        <w:spacing w:after="0" w:line="170"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HE SIGNS THIS RELEASE PRIOR TO THE EXPIRATION OF TWENTY-ONE (21) CALENDAR DAYS, HE KNOWINGLY AND VOLUNTARILY WAIVES AND GIVES UP THIS RIGHT OF REVIEW;</w:t>
      </w:r>
    </w:p>
    <w:p>
      <w:pPr>
        <w:spacing w:after="0" w:line="184"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HAS THE RIGHT TO REVOKE THIS RELEASE FOR A PERIOD OF SEVEN (7) CALENDAR DAYS AFTER HE SIGNS IT BY MAILING OR DELIVERING A WRITTEN NOTICE OF REVOCATION TO THE COMPANY NO LATER THAN THE CLOSE OF BUSINESS ON THE SEVENTH CALENDAR DAY AFTER THE DAY ON WHICH HE SIGNED THIS RELEASE;</w:t>
      </w:r>
    </w:p>
    <w:p>
      <w:pPr>
        <w:spacing w:after="0" w:line="203"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SHALL NOT BECOME EFFECTIVE OR ENFORCEABLE UNTIL THE FOREGOING SEVEN DAY REVOCATION PERIOD HAS EXPIRED WITHOUT THE RELEASE HAVING BEEN REVOKED;</w:t>
      </w:r>
    </w:p>
    <w:p>
      <w:pPr>
        <w:spacing w:after="0" w:line="184"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WILL BE FINAL AND BINDING AFTER THE EXPIRATION OF THE FOREGOING REVOCATION PERIOD REFERRED TO IN SECTION 2(c), AND FOLLOWING SUCH REVOCATION PERIOD EXECUTIVE AGREES NOT TO CHALLENGE ITS ENFORCEABILITY;</w:t>
      </w:r>
    </w:p>
    <w:p>
      <w:pPr>
        <w:spacing w:after="0" w:line="194"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IS AWARE OF HIS RIGHT TO CONSULT AN ATTORNEY, HAS BEEN ADVISED IN WRITING TO CONSULT WITH AN ATTORNEY, AND HAS HAD THE OPPORTUNITY TO CONSULT WITH AN ATTORNEY, IF DESIRED, PRIOR TO SIGNING THIS RELEASE;</w:t>
      </w:r>
    </w:p>
    <w:p>
      <w:pPr>
        <w:spacing w:after="0" w:line="199" w:lineRule="exact"/>
        <w:rPr>
          <w:rFonts w:ascii="Times New Roman" w:cs="Times New Roman" w:eastAsia="Times New Roman" w:hAnsi="Times New Roman"/>
          <w:sz w:val="22"/>
          <w:szCs w:val="22"/>
          <w:color w:val="auto"/>
        </w:rPr>
      </w:pPr>
    </w:p>
    <w:p>
      <w:pPr>
        <w:ind w:firstLine="656"/>
        <w:spacing w:after="0" w:line="284" w:lineRule="auto"/>
        <w:tabs>
          <w:tab w:leader="none" w:pos="129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PROMISE OR INDUCEMENT FOR THIS RELEASE HAS BEEN MADE EXCEPT AS SET FORTH IN THE EMPLOYMENT AGREEMENT AND THIS RELEASE; AND</w:t>
      </w:r>
    </w:p>
    <w:p>
      <w:pPr>
        <w:spacing w:after="0" w:line="170"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HAS CAREFULLY READ THIS RELEASE, ACKNOWLEDGES THAT HE HAS NOT RELIED ON ANY REPRESENTATION OR STATEMENT, WRITTEN OR ORAL, NOT SET FORTH IN THIS DOCUMENT OR THE EMPLOYMENT AGREEMENT, AND WARRANTS AND REPRESENTS THAT HE IS SIGNING THIS RELEASE KNOWINGLY AND VOLUNTARILY.</w:t>
      </w:r>
    </w:p>
    <w:p>
      <w:pPr>
        <w:spacing w:after="0" w:line="220"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22"/>
          <w:szCs w:val="22"/>
          <w:color w:val="auto"/>
        </w:rPr>
        <w:t>The provisions of the Employment Agreement relating to representations, successors, notices, amendments/waivers, headings, severability, choice of law, references, arbitration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56" w:lineRule="auto"/>
        <w:rPr>
          <w:sz w:val="20"/>
          <w:szCs w:val="20"/>
          <w:color w:val="auto"/>
        </w:rPr>
      </w:pPr>
      <w:r>
        <w:rPr>
          <w:rFonts w:ascii="Times New Roman" w:cs="Times New Roman" w:eastAsia="Times New Roman" w:hAnsi="Times New Roman"/>
          <w:sz w:val="22"/>
          <w:szCs w:val="22"/>
          <w:color w:val="auto"/>
        </w:rPr>
        <w:t>counterparts/faxed signatures, shall apply to this Release as if set fully forth in full herein, with references in such Sections to “this Agreement” being deemed, as appropriate, to be references to this Release. For avoidance of doubt, this Section 3 has been included in this Release solely for the purpose of avoiding the need to repeat herein the full text of the referenced provisions of the Employment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1"/>
          <w:szCs w:val="21"/>
          <w:color w:val="auto"/>
        </w:rPr>
        <w:t>IN WITNESS WHEREOF, Executive has acknowledged, executed and delivered this Release on the date indicated below.</w:t>
      </w:r>
    </w:p>
    <w:p>
      <w:pPr>
        <w:sectPr>
          <w:pgSz w:w="11900" w:h="16838" w:orient="portrait"/>
          <w:cols w:equalWidth="0" w:num="1">
            <w:col w:w="10560"/>
          </w:cols>
          <w:pgMar w:left="660" w:top="1421" w:right="67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Name: Adam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2609215</wp:posOffset>
            </wp:positionH>
            <wp:positionV relativeFrom="paragraph">
              <wp:posOffset>-152400</wp:posOffset>
            </wp:positionV>
            <wp:extent cx="28117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9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19685</wp:posOffset>
            </wp:positionV>
            <wp:extent cx="22117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9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0560"/>
          </w:cols>
          <w:pgMar w:left="660" w:top="1421" w:right="679" w:bottom="1440" w:gutter="0" w:footer="0" w:header="0"/>
          <w:type w:val="continuous"/>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 of Charter Communications, Inc.</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Entity Jurisdiction and Type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ectPr>
          <w:pgSz w:w="11900" w:h="16838" w:orient="portrait"/>
          <w:cols w:equalWidth="0" w:num="1">
            <w:col w:w="11220"/>
          </w:cols>
          <w:pgMar w:left="340" w:top="117" w:right="339" w:bottom="1440" w:gutter="0" w:footer="0" w:header="0"/>
        </w:sect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Name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and Type</w:t>
      </w:r>
    </w:p>
    <w:p>
      <w:pPr>
        <w:spacing w:after="0" w:line="65" w:lineRule="exact"/>
        <w:rPr>
          <w:sz w:val="20"/>
          <w:szCs w:val="20"/>
          <w:color w:val="auto"/>
        </w:rPr>
      </w:pPr>
    </w:p>
    <w:p>
      <w:pPr>
        <w:sectPr>
          <w:pgSz w:w="11900" w:h="16838" w:orient="portrait"/>
          <w:cols w:equalWidth="0" w:num="2">
            <w:col w:w="6460" w:space="720"/>
            <w:col w:w="4040"/>
          </w:cols>
          <w:pgMar w:left="34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Bresnan Broadband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Bresnan Broadband of Colorado,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Bresnan Broadband of Montana,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Bresnan Broadband of Utah,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Bresnan Broadband of Wyoming,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Bresnan Digital Services,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 House Networks Information Services (Alabama),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Bright House Networks Information Services (California), LLLC</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 House Networks Information Services (Florida),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 House Networks Information Services (Indiana),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 House Networks Information Services (Michigan),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Fiberlink,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VI Fiberlink,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VII Fiberlink,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CCH Holding Company,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CCH I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CCH 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CCHC,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CCI Green,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Fiberlink,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Holdings Capital Corp.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NR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Advanced Services (MO),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ASC,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Holding Company,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Operating Capital Corp.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Operating,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SSC,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VI HoldCo,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VI,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Distribution,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Alabama,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Georgia,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Montana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Utah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Wyoming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(Parent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ectPr>
          <w:pgSz w:w="11900" w:h="16838" w:orient="portrait"/>
          <w:cols w:equalWidth="0" w:num="2">
            <w:col w:w="6460" w:space="720"/>
            <w:col w:w="4040"/>
          </w:cols>
          <w:pgMar w:left="340" w:top="117" w:right="339" w:bottom="1440" w:gutter="0" w:footer="0" w:header="0"/>
          <w:type w:val="continuous"/>
        </w:sectPr>
      </w:pPr>
    </w:p>
    <w:bookmarkStart w:id="149" w:name="page150"/>
    <w:bookmarkEnd w:id="149"/>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Jurisdiction and Type</w:t>
      </w:r>
    </w:p>
    <w:p>
      <w:pPr>
        <w:spacing w:after="0" w:line="65" w:lineRule="exact"/>
        <w:rPr>
          <w:sz w:val="20"/>
          <w:szCs w:val="20"/>
          <w:color w:val="auto"/>
        </w:rPr>
      </w:pPr>
    </w:p>
    <w:p>
      <w:pPr>
        <w:sectPr>
          <w:pgSz w:w="11900" w:h="16838" w:orient="portrait"/>
          <w:cols w:equalWidth="0" w:num="2">
            <w:col w:w="6460" w:space="720"/>
            <w:col w:w="2939"/>
          </w:cols>
          <w:pgMar w:left="340" w:top="1440" w:right="1440"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Charter Fiberlink – Illinois,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Maryland 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Michigan,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Missouri,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Nebraska,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Tennessee,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CA-CCO,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CC VIII,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CT-CCO,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LA-CCO,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MA-CCO,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MS-CCVI,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NC-CCO,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NH-CCO,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NV-CCVII,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NY-CCO,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OR-CCVII,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SC-CCO,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TX-CCO,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VA-CCO,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VT-CCO,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WA-CCVII,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Gateway,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IP Enabled Services,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Leasing Holding Company,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Procurement Leasing,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DukeNet Communications,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Innovar Media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Insight Blocker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 Aviation,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Advanced Services,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Captive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Communications Indemnity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Fiberlink Florida,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Gulf Coast,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Spectrum Management Holding Company, LLC</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Mid-America,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Mobile Equipment,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Mobile,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Connecticut captive insurance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ectPr>
          <w:pgSz w:w="11900" w:h="16838" w:orient="portrait"/>
          <w:cols w:equalWidth="0" w:num="2">
            <w:col w:w="6460" w:space="720"/>
            <w:col w:w="2939"/>
          </w:cols>
          <w:pgMar w:left="340" w:top="1440" w:right="1440" w:bottom="1440" w:gutter="0" w:footer="0" w:header="0"/>
          <w:type w:val="continuous"/>
        </w:sectPr>
      </w:pPr>
    </w:p>
    <w:bookmarkStart w:id="150" w:name="page151"/>
    <w:bookmarkEnd w:id="15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Jurisdiction and Type</w:t>
      </w:r>
    </w:p>
    <w:p>
      <w:pPr>
        <w:spacing w:after="0" w:line="65" w:lineRule="exact"/>
        <w:rPr>
          <w:sz w:val="20"/>
          <w:szCs w:val="20"/>
          <w:color w:val="auto"/>
        </w:rPr>
      </w:pPr>
    </w:p>
    <w:p>
      <w:pPr>
        <w:sectPr>
          <w:pgSz w:w="11900" w:h="16838" w:orient="portrait"/>
          <w:cols w:equalWidth="0" w:num="2">
            <w:col w:w="6460" w:space="720"/>
            <w:col w:w="2939"/>
          </w:cols>
          <w:pgMar w:left="340" w:top="1440" w:right="1440"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Spectrum New Jersey,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New York Metro,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NLP,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Northeast,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Oceanic,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Originals Development,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Originals,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Pacific West,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Reach,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RSN,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Southeast,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SportsNet,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Stamford,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Sunshine State,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TV Essentials,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Wireless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Business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Enterprises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(Alabama),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(Arizona),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(California),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(Colorado),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(Hawaii),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(Idaho),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(Illinois),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(Indiana),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(Kansas),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(Kentucky),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(Maine),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(Massachusetts),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(Michigan),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(Missouri),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(Nebraska),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Warner Cable Information Services (New Hampshire), LLC</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(New Jersey),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(New Mexico),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(New York),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(North Carolina),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(Ohio),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ectPr>
          <w:pgSz w:w="11900" w:h="16838" w:orient="portrait"/>
          <w:cols w:equalWidth="0" w:num="2">
            <w:col w:w="6460" w:space="720"/>
            <w:col w:w="2939"/>
          </w:cols>
          <w:pgMar w:left="340" w:top="1440" w:right="1440" w:bottom="1440" w:gutter="0" w:footer="0" w:header="0"/>
          <w:type w:val="continuous"/>
        </w:sectPr>
      </w:pPr>
    </w:p>
    <w:bookmarkStart w:id="151" w:name="page152"/>
    <w:bookmarkEnd w:id="15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Jurisdiction and Type</w:t>
      </w:r>
    </w:p>
    <w:p>
      <w:pPr>
        <w:spacing w:after="0" w:line="65" w:lineRule="exact"/>
        <w:rPr>
          <w:sz w:val="20"/>
          <w:szCs w:val="20"/>
          <w:color w:val="auto"/>
        </w:rPr>
      </w:pPr>
    </w:p>
    <w:p>
      <w:pPr>
        <w:sectPr>
          <w:pgSz w:w="11900" w:h="16838" w:orient="portrait"/>
          <w:cols w:equalWidth="0" w:num="2">
            <w:col w:w="6460" w:space="720"/>
            <w:col w:w="2939"/>
          </w:cols>
          <w:pgMar w:left="340" w:top="1440" w:right="1440"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(Pennsylvania),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Warner Cable Information Services (South Carolina), LLC</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(Tennessee),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(Texas),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(Virginia),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(Washington),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(West Virginia),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(Wisconsin),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 Administration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 Communications,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 Employee Disaster Relief Fund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 IP Enabled Services,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 SEE Holdco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TWCIS Holdco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non-profit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ectPr>
          <w:pgSz w:w="11900" w:h="16838" w:orient="portrait"/>
          <w:cols w:equalWidth="0" w:num="2">
            <w:col w:w="6460" w:space="720"/>
            <w:col w:w="2939"/>
          </w:cols>
          <w:pgMar w:left="340" w:top="1440" w:right="1440" w:bottom="1440" w:gutter="0" w:footer="0" w:header="0"/>
          <w:type w:val="continuous"/>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333-190516, 333-163357, 333-170475, 333-211517, 333-214399 and 333-232855) on Form S-8 and (No. 333-275214) on Form S-3 of our reports dated February 1, 2024, with respect to the consolidated financial statements of Charter Communications, Inc. and the effectiveness of internal control over financial reporting.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2024</w:t>
      </w:r>
    </w:p>
    <w:p>
      <w:pPr>
        <w:sectPr>
          <w:pgSz w:w="11900" w:h="16838" w:orient="portrait"/>
          <w:cols w:equalWidth="0" w:num="1">
            <w:col w:w="11240"/>
          </w:cols>
          <w:pgMar w:left="320" w:top="117"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L. Winfrey, certify that:</w:t>
      </w:r>
    </w:p>
    <w:p>
      <w:pPr>
        <w:spacing w:after="0" w:line="333"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Charter Communications,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L. Winfrey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742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96">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L. Winfrey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Jessica M. Fischer, certify that:</w:t>
      </w:r>
    </w:p>
    <w:p>
      <w:pPr>
        <w:spacing w:after="0" w:line="333" w:lineRule="exact"/>
        <w:rPr>
          <w:sz w:val="20"/>
          <w:szCs w:val="20"/>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Charter Communications,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742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9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M. Fischer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OF CHIEF EXECUTIVE OFFICER REGARDING PERIODIC REPORT CONTAINING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Christopher L. Winfrey, the President and Chief Executive Officer of Charter Communications, Inc. (the "Company") in compliance with 18 U.S.C. Section 1350, as adopted pursuant to Section 906 of the Sarbanes-Oxley Act of 2002, hereby certify that, the Company's Annual Report on Form 10-K for the year ended December 31, 2023 (the "Report") filed with the Securities and Exchange Commission:</w:t>
      </w:r>
    </w:p>
    <w:p>
      <w:pPr>
        <w:spacing w:after="0" w:line="179" w:lineRule="exact"/>
        <w:rPr>
          <w:sz w:val="20"/>
          <w:szCs w:val="20"/>
          <w:color w:val="auto"/>
        </w:rPr>
      </w:pPr>
    </w:p>
    <w:p>
      <w:pPr>
        <w:ind w:left="1300" w:hanging="320"/>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complies with the requirements of Section 13(a) of the Securities Exchange Act of 1934; and</w:t>
      </w:r>
    </w:p>
    <w:p>
      <w:pPr>
        <w:spacing w:after="0" w:line="233"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Christopher L. Winfrey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18688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9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Christopher L. Winfrey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February 2, 2024</w:t>
      </w:r>
    </w:p>
    <w:p>
      <w:pPr>
        <w:sectPr>
          <w:pgSz w:w="11900" w:h="16838" w:orient="portrait"/>
          <w:cols w:equalWidth="0" w:num="1">
            <w:col w:w="11240"/>
          </w:cols>
          <w:pgMar w:left="320" w:top="122"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OF CHIEF FINANCIAL OFFICER REGARDING PERIODIC REPORT CONTAINING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Jessica M. Fischer, the Chief Financial Officer of Charter Communications, Inc. (the "Company"), in compliance with 18 U.S.C. Section 1350, as adopted pursuant to Section 906 of the Sarbanes-Oxley Act of 2002, hereby certify that, the Company's Annual Report on Form 10-K for the year ended December 31, 2023 (the "Report") filed with the Securities and Exchange Commission:</w:t>
      </w:r>
    </w:p>
    <w:p>
      <w:pPr>
        <w:spacing w:after="0" w:line="179" w:lineRule="exact"/>
        <w:rPr>
          <w:sz w:val="20"/>
          <w:szCs w:val="20"/>
          <w:color w:val="auto"/>
        </w:rPr>
      </w:pPr>
    </w:p>
    <w:p>
      <w:pPr>
        <w:ind w:left="1300" w:hanging="320"/>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complies with the requirements of Section 13(a) of the Securities Exchange Act of 1934; and</w:t>
      </w:r>
    </w:p>
    <w:p>
      <w:pPr>
        <w:spacing w:after="0" w:line="233"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3488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9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Jessica M. Fischer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(Principal Financial Officer)</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February 2, 2024</w:t>
      </w:r>
    </w:p>
    <w:p>
      <w:pPr>
        <w:sectPr>
          <w:pgSz w:w="11900" w:h="16838" w:orient="portrait"/>
          <w:cols w:equalWidth="0" w:num="1">
            <w:col w:w="11240"/>
          </w:cols>
          <w:pgMar w:left="320" w:top="122"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CHARTER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October 24, 2023 and Effective as of October 1, 2023</w:t>
      </w:r>
    </w:p>
    <w:p>
      <w:pPr>
        <w:spacing w:after="0" w:line="260" w:lineRule="exact"/>
        <w:rPr>
          <w:sz w:val="20"/>
          <w:szCs w:val="20"/>
          <w:color w:val="auto"/>
        </w:rPr>
      </w:pPr>
    </w:p>
    <w:p>
      <w:pPr>
        <w:ind w:left="660" w:right="260" w:hanging="652"/>
        <w:spacing w:after="0" w:line="259" w:lineRule="auto"/>
        <w:tabs>
          <w:tab w:leader="none" w:pos="66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Purpose</w:t>
      </w:r>
      <w:r>
        <w:rPr>
          <w:rFonts w:ascii="Times New Roman" w:cs="Times New Roman" w:eastAsia="Times New Roman" w:hAnsi="Times New Roman"/>
          <w:sz w:val="22"/>
          <w:szCs w:val="22"/>
          <w:color w:val="auto"/>
        </w:rPr>
        <w:t>. This Policy sets forth the terms on which the Company may recover erroneously awarded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by its executive officers. This Policy is intended to comply with Section 10D of the Exchange Act and Nasdaq Listing Rule 5608.</w:t>
      </w:r>
    </w:p>
    <w:p>
      <w:pPr>
        <w:spacing w:after="0" w:line="193" w:lineRule="exact"/>
        <w:rPr>
          <w:rFonts w:ascii="Times New Roman" w:cs="Times New Roman" w:eastAsia="Times New Roman" w:hAnsi="Times New Roman"/>
          <w:sz w:val="22"/>
          <w:szCs w:val="22"/>
          <w:b w:val="1"/>
          <w:bCs w:val="1"/>
          <w:color w:val="auto"/>
        </w:rPr>
      </w:pPr>
    </w:p>
    <w:p>
      <w:pPr>
        <w:ind w:left="660" w:right="640" w:hanging="652"/>
        <w:spacing w:after="0" w:line="275" w:lineRule="auto"/>
        <w:tabs>
          <w:tab w:leader="none" w:pos="66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Unless the context otherwise requires, the following terms used in this Policy shall have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meanings:</w:t>
      </w:r>
    </w:p>
    <w:p>
      <w:pPr>
        <w:spacing w:after="0" w:line="18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the Compensation and Benefits Committee of the Board.</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Charter Communications, Inc.</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w:t>
      </w:r>
      <w:r>
        <w:rPr>
          <w:rFonts w:ascii="Times New Roman" w:cs="Times New Roman" w:eastAsia="Times New Roman" w:hAnsi="Times New Roman"/>
          <w:sz w:val="22"/>
          <w:szCs w:val="22"/>
          <w:color w:val="auto"/>
        </w:rPr>
        <w:t>” means the Nasdaq Stock Market.</w:t>
      </w:r>
    </w:p>
    <w:p>
      <w:pPr>
        <w:spacing w:after="0" w:line="246" w:lineRule="exact"/>
        <w:rPr>
          <w:rFonts w:ascii="Times New Roman" w:cs="Times New Roman" w:eastAsia="Times New Roman" w:hAnsi="Times New Roman"/>
          <w:sz w:val="22"/>
          <w:szCs w:val="22"/>
          <w:color w:val="auto"/>
        </w:rPr>
      </w:pPr>
    </w:p>
    <w:p>
      <w:pPr>
        <w:ind w:left="1300" w:right="280" w:hanging="644"/>
        <w:spacing w:after="0" w:line="275" w:lineRule="auto"/>
        <w:tabs>
          <w:tab w:leader="none" w:pos="1297"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 from time to time, and any successor thereto.</w:t>
      </w:r>
    </w:p>
    <w:p>
      <w:pPr>
        <w:spacing w:after="0" w:line="18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erroneously awarded compensation</w:t>
      </w:r>
      <w:r>
        <w:rPr>
          <w:rFonts w:ascii="Times New Roman" w:cs="Times New Roman" w:eastAsia="Times New Roman" w:hAnsi="Times New Roman"/>
          <w:sz w:val="22"/>
          <w:szCs w:val="22"/>
          <w:color w:val="auto"/>
        </w:rPr>
        <w:t>” has the meaning set forth in Section 3(c).</w:t>
      </w:r>
    </w:p>
    <w:p>
      <w:pPr>
        <w:spacing w:after="0" w:line="246" w:lineRule="exact"/>
        <w:rPr>
          <w:rFonts w:ascii="Times New Roman" w:cs="Times New Roman" w:eastAsia="Times New Roman" w:hAnsi="Times New Roman"/>
          <w:sz w:val="22"/>
          <w:szCs w:val="22"/>
          <w:color w:val="auto"/>
        </w:rPr>
      </w:pPr>
    </w:p>
    <w:p>
      <w:pPr>
        <w:ind w:left="1300" w:right="140" w:hanging="644"/>
        <w:spacing w:after="0" w:line="263" w:lineRule="auto"/>
        <w:tabs>
          <w:tab w:leader="none" w:pos="1295"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executive officer</w:t>
      </w:r>
      <w:r>
        <w:rPr>
          <w:rFonts w:ascii="Times New Roman" w:cs="Times New Roman" w:eastAsia="Times New Roman" w:hAnsi="Times New Roman"/>
          <w:sz w:val="21"/>
          <w:szCs w:val="21"/>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An “executive officer” for purposes of this Policy includes at a minimum executive officers identified pursuant to Item 401(b) of SEC Regulation S-K.</w:t>
      </w:r>
    </w:p>
    <w:p>
      <w:pPr>
        <w:spacing w:after="0" w:line="191" w:lineRule="exact"/>
        <w:rPr>
          <w:rFonts w:ascii="Times New Roman" w:cs="Times New Roman" w:eastAsia="Times New Roman" w:hAnsi="Times New Roman"/>
          <w:sz w:val="21"/>
          <w:szCs w:val="21"/>
          <w:color w:val="auto"/>
        </w:rPr>
      </w:pPr>
    </w:p>
    <w:p>
      <w:pPr>
        <w:ind w:left="1300" w:right="360" w:hanging="644"/>
        <w:spacing w:after="0" w:line="258" w:lineRule="auto"/>
        <w:tabs>
          <w:tab w:leader="none" w:pos="1295"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reporting measures</w:t>
      </w:r>
      <w:r>
        <w:rPr>
          <w:rFonts w:ascii="Times New Roman" w:cs="Times New Roman" w:eastAsia="Times New Roman" w:hAnsi="Times New Roman"/>
          <w:sz w:val="22"/>
          <w:szCs w:val="22"/>
          <w:color w:val="auto"/>
        </w:rPr>
        <w:t>” means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w:t>
      </w:r>
    </w:p>
    <w:p>
      <w:pPr>
        <w:sectPr>
          <w:pgSz w:w="11900" w:h="16838" w:orient="portrait"/>
          <w:cols w:equalWidth="0" w:num="1">
            <w:col w:w="11240"/>
          </w:cols>
          <w:pgMar w:left="320" w:top="122" w:right="339" w:bottom="1440" w:gutter="0" w:footer="0" w:header="0"/>
        </w:sectPr>
      </w:pPr>
    </w:p>
    <w:bookmarkStart w:id="158" w:name="page159"/>
    <w:bookmarkEnd w:id="158"/>
    <w:p>
      <w:pPr>
        <w:ind w:left="1292" w:right="300" w:hanging="644"/>
        <w:spacing w:after="0" w:line="275" w:lineRule="auto"/>
        <w:tabs>
          <w:tab w:leader="none" w:pos="128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76"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means this Charter Communications, Inc. Compensation Recovery Policy, as in effect from time to time.</w:t>
      </w:r>
    </w:p>
    <w:p>
      <w:pPr>
        <w:spacing w:after="0" w:line="271" w:lineRule="exact"/>
        <w:rPr>
          <w:rFonts w:ascii="Times New Roman" w:cs="Times New Roman" w:eastAsia="Times New Roman" w:hAnsi="Times New Roman"/>
          <w:sz w:val="21"/>
          <w:szCs w:val="21"/>
          <w:color w:val="auto"/>
        </w:rPr>
      </w:pPr>
    </w:p>
    <w:p>
      <w:pPr>
        <w:ind w:left="1292" w:right="80" w:hanging="644"/>
        <w:spacing w:after="0" w:line="277" w:lineRule="auto"/>
        <w:tabs>
          <w:tab w:leader="none" w:pos="1287"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received</w:t>
      </w:r>
      <w:r>
        <w:rPr>
          <w:rFonts w:ascii="Times New Roman" w:cs="Times New Roman" w:eastAsia="Times New Roman" w:hAnsi="Times New Roman"/>
          <w:sz w:val="21"/>
          <w:szCs w:val="21"/>
          <w:color w:val="auto"/>
        </w:rPr>
        <w:t>” has the following meaning: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176" w:lineRule="exact"/>
        <w:rPr>
          <w:rFonts w:ascii="Times New Roman" w:cs="Times New Roman" w:eastAsia="Times New Roman" w:hAnsi="Times New Roman"/>
          <w:sz w:val="21"/>
          <w:szCs w:val="21"/>
          <w:color w:val="auto"/>
        </w:rPr>
      </w:pPr>
    </w:p>
    <w:p>
      <w:pPr>
        <w:ind w:left="1292" w:hanging="644"/>
        <w:spacing w:after="0"/>
        <w:tabs>
          <w:tab w:leader="none" w:pos="129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46" w:lineRule="exact"/>
        <w:rPr>
          <w:rFonts w:ascii="Times New Roman" w:cs="Times New Roman" w:eastAsia="Times New Roman" w:hAnsi="Times New Roman"/>
          <w:sz w:val="22"/>
          <w:szCs w:val="22"/>
          <w:color w:val="auto"/>
        </w:rPr>
      </w:pPr>
    </w:p>
    <w:p>
      <w:pPr>
        <w:ind w:left="652" w:right="60" w:hanging="652"/>
        <w:spacing w:after="0" w:line="252" w:lineRule="auto"/>
        <w:tabs>
          <w:tab w:leader="none" w:pos="652"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Erroneously Awarded Compensation</w:t>
      </w:r>
      <w:r>
        <w:rPr>
          <w:rFonts w:ascii="Times New Roman" w:cs="Times New Roman" w:eastAsia="Times New Roman" w:hAnsi="Times New Roman"/>
          <w:sz w:val="22"/>
          <w:szCs w:val="22"/>
          <w:color w:val="auto"/>
        </w:rPr>
        <w:t>. The Company shall recover reasonably promptly the amount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erroneously awarded compensation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1" w:lineRule="exact"/>
        <w:rPr>
          <w:rFonts w:ascii="Times New Roman" w:cs="Times New Roman" w:eastAsia="Times New Roman" w:hAnsi="Times New Roman"/>
          <w:sz w:val="22"/>
          <w:szCs w:val="22"/>
          <w:b w:val="1"/>
          <w:bCs w:val="1"/>
          <w:color w:val="auto"/>
        </w:rPr>
      </w:pPr>
    </w:p>
    <w:p>
      <w:pPr>
        <w:ind w:left="1292" w:hanging="644"/>
        <w:spacing w:after="0"/>
        <w:tabs>
          <w:tab w:leader="none" w:pos="1292"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Scope of Policy</w:t>
      </w:r>
      <w:r>
        <w:rPr>
          <w:rFonts w:ascii="Times New Roman" w:cs="Times New Roman" w:eastAsia="Times New Roman" w:hAnsi="Times New Roman"/>
          <w:sz w:val="22"/>
          <w:szCs w:val="22"/>
          <w:color w:val="auto"/>
        </w:rPr>
        <w:t>. This Policy shall apply to all incentive-based compensation received by a person:</w:t>
      </w:r>
    </w:p>
    <w:p>
      <w:pPr>
        <w:spacing w:after="0" w:line="264" w:lineRule="exact"/>
        <w:rPr>
          <w:rFonts w:ascii="Times New Roman" w:cs="Times New Roman" w:eastAsia="Times New Roman" w:hAnsi="Times New Roman"/>
          <w:sz w:val="22"/>
          <w:szCs w:val="22"/>
          <w:color w:val="auto"/>
        </w:rPr>
      </w:pPr>
    </w:p>
    <w:p>
      <w:pPr>
        <w:ind w:left="1932" w:hanging="636"/>
        <w:spacing w:after="0"/>
        <w:tabs>
          <w:tab w:leader="none" w:pos="1932" w:val="left"/>
        </w:tabs>
        <w:numPr>
          <w:ilvl w:val="2"/>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beginning service as an executive officer;</w:t>
      </w:r>
    </w:p>
    <w:p>
      <w:pPr>
        <w:spacing w:after="0" w:line="246" w:lineRule="exact"/>
        <w:rPr>
          <w:rFonts w:ascii="Times New Roman" w:cs="Times New Roman" w:eastAsia="Times New Roman" w:hAnsi="Times New Roman"/>
          <w:sz w:val="22"/>
          <w:szCs w:val="22"/>
          <w:color w:val="auto"/>
        </w:rPr>
      </w:pPr>
    </w:p>
    <w:p>
      <w:pPr>
        <w:ind w:left="1952" w:right="440" w:hanging="656"/>
        <w:spacing w:after="0" w:line="271" w:lineRule="auto"/>
        <w:tabs>
          <w:tab w:leader="none" w:pos="1946" w:val="left"/>
        </w:tabs>
        <w:numPr>
          <w:ilvl w:val="2"/>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served as an executive officer at any time during the performance period for that incentive-based compensation;</w:t>
      </w:r>
    </w:p>
    <w:p>
      <w:pPr>
        <w:spacing w:after="0" w:line="184" w:lineRule="exact"/>
        <w:rPr>
          <w:rFonts w:ascii="Times New Roman" w:cs="Times New Roman" w:eastAsia="Times New Roman" w:hAnsi="Times New Roman"/>
          <w:sz w:val="22"/>
          <w:szCs w:val="22"/>
          <w:color w:val="auto"/>
        </w:rPr>
      </w:pPr>
    </w:p>
    <w:p>
      <w:pPr>
        <w:ind w:left="1952" w:right="20" w:hanging="656"/>
        <w:spacing w:after="0" w:line="271" w:lineRule="auto"/>
        <w:tabs>
          <w:tab w:leader="none" w:pos="1952" w:val="left"/>
        </w:tabs>
        <w:numPr>
          <w:ilvl w:val="2"/>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the Company has a class of securities listed on a national securities exchange or a national securities association; and</w:t>
      </w:r>
    </w:p>
    <w:p>
      <w:pPr>
        <w:spacing w:after="0" w:line="198" w:lineRule="exact"/>
        <w:rPr>
          <w:rFonts w:ascii="Times New Roman" w:cs="Times New Roman" w:eastAsia="Times New Roman" w:hAnsi="Times New Roman"/>
          <w:sz w:val="22"/>
          <w:szCs w:val="22"/>
          <w:color w:val="auto"/>
        </w:rPr>
      </w:pPr>
    </w:p>
    <w:p>
      <w:pPr>
        <w:ind w:left="1952" w:hanging="656"/>
        <w:spacing w:after="0" w:line="250" w:lineRule="auto"/>
        <w:tabs>
          <w:tab w:leader="none" w:pos="1940" w:val="left"/>
        </w:tabs>
        <w:numPr>
          <w:ilvl w:val="2"/>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three completed fiscal years immediately preceding the date that the Company is required to prepare an accounting restatement as described in the first paragraph of this Section 3. In addition to these last three completed fiscal years, this Policy shall apply to any transition period (that results from a change in the Company’s fiscal year) within or immediately following those three completed fiscal years. However, a transition period between the last day of the Company’s previous fiscal year end and the first day of its new fiscal year that comprises a period of nine to 12 months would be deemed a completed fiscal year.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12"/>
          </w:cols>
          <w:pgMar w:left="328" w:top="1418" w:right="359" w:bottom="1440" w:gutter="0" w:footer="0" w:header="0"/>
        </w:sectPr>
      </w:pPr>
    </w:p>
    <w:bookmarkStart w:id="159" w:name="page160"/>
    <w:bookmarkEnd w:id="159"/>
    <w:p>
      <w:pPr>
        <w:ind w:left="1304" w:right="340"/>
        <w:spacing w:after="0" w:line="271" w:lineRule="auto"/>
        <w:rPr>
          <w:sz w:val="20"/>
          <w:szCs w:val="20"/>
          <w:color w:val="auto"/>
        </w:rPr>
      </w:pPr>
      <w:r>
        <w:rPr>
          <w:rFonts w:ascii="Times New Roman" w:cs="Times New Roman" w:eastAsia="Times New Roman" w:hAnsi="Times New Roman"/>
          <w:sz w:val="22"/>
          <w:szCs w:val="22"/>
          <w:color w:val="auto"/>
        </w:rPr>
        <w:t>Company’s obligation to recover erroneously awarded compensation is not dependent on if or when the restated financial statements are filed.</w:t>
      </w:r>
    </w:p>
    <w:p>
      <w:pPr>
        <w:spacing w:after="0" w:line="181" w:lineRule="exact"/>
        <w:rPr>
          <w:sz w:val="20"/>
          <w:szCs w:val="20"/>
          <w:color w:val="auto"/>
        </w:rPr>
      </w:pPr>
    </w:p>
    <w:p>
      <w:pPr>
        <w:ind w:left="644" w:right="80" w:hanging="644"/>
        <w:spacing w:after="0" w:line="287" w:lineRule="auto"/>
        <w:tabs>
          <w:tab w:leader="none" w:pos="63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Date of Accounting Restatement</w:t>
      </w:r>
      <w:r>
        <w:rPr>
          <w:rFonts w:ascii="Times New Roman" w:cs="Times New Roman" w:eastAsia="Times New Roman" w:hAnsi="Times New Roman"/>
          <w:sz w:val="22"/>
          <w:szCs w:val="22"/>
          <w:color w:val="auto"/>
        </w:rPr>
        <w:t>. The date that the Company is required to prepare an accounting restatement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in the first paragraph of this Section 3 is the earlier to occur of:</w:t>
      </w:r>
    </w:p>
    <w:p>
      <w:pPr>
        <w:spacing w:after="0" w:line="168" w:lineRule="exact"/>
        <w:rPr>
          <w:rFonts w:ascii="Times New Roman" w:cs="Times New Roman" w:eastAsia="Times New Roman" w:hAnsi="Times New Roman"/>
          <w:sz w:val="22"/>
          <w:szCs w:val="22"/>
          <w:color w:val="auto"/>
        </w:rPr>
      </w:pPr>
    </w:p>
    <w:p>
      <w:pPr>
        <w:ind w:left="1304" w:right="180" w:hanging="656"/>
        <w:spacing w:after="0" w:line="275" w:lineRule="auto"/>
        <w:tabs>
          <w:tab w:leader="none" w:pos="1292"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Board, a committee thereof or the Company’s officer(s) authorized to take such action if Board action is not required, concludes, or reasonably should have concluded, that the Company is required to prepare an accounting restatement as described in the first paragraph of this Section 3; and</w:t>
      </w:r>
    </w:p>
    <w:p>
      <w:pPr>
        <w:spacing w:after="0" w:line="182" w:lineRule="exact"/>
        <w:rPr>
          <w:rFonts w:ascii="Times New Roman" w:cs="Times New Roman" w:eastAsia="Times New Roman" w:hAnsi="Times New Roman"/>
          <w:sz w:val="21"/>
          <w:szCs w:val="21"/>
          <w:color w:val="auto"/>
        </w:rPr>
      </w:pPr>
    </w:p>
    <w:p>
      <w:pPr>
        <w:ind w:left="1304" w:right="240" w:hanging="656"/>
        <w:spacing w:after="0" w:line="284" w:lineRule="auto"/>
        <w:tabs>
          <w:tab w:leader="none" w:pos="129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court, regulator or other legally authorized body directs the Company to prepare an accounting restatement as described in the first paragraph of this Section 3.</w:t>
      </w:r>
    </w:p>
    <w:p>
      <w:pPr>
        <w:spacing w:after="0" w:line="166" w:lineRule="exact"/>
        <w:rPr>
          <w:rFonts w:ascii="Times New Roman" w:cs="Times New Roman" w:eastAsia="Times New Roman" w:hAnsi="Times New Roman"/>
          <w:sz w:val="22"/>
          <w:szCs w:val="22"/>
          <w:color w:val="auto"/>
        </w:rPr>
      </w:pPr>
    </w:p>
    <w:p>
      <w:pPr>
        <w:ind w:left="644" w:right="60" w:hanging="644"/>
        <w:spacing w:after="0" w:line="248" w:lineRule="auto"/>
        <w:tabs>
          <w:tab w:leader="none" w:pos="64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Amount Subject to Recovery</w:t>
      </w:r>
      <w:r>
        <w:rPr>
          <w:rFonts w:ascii="Times New Roman" w:cs="Times New Roman" w:eastAsia="Times New Roman" w:hAnsi="Times New Roman"/>
          <w:sz w:val="22"/>
          <w:szCs w:val="22"/>
          <w:color w:val="auto"/>
        </w:rPr>
        <w:t>. The amount of incentive-based compensation subject to this Policy (“</w:t>
      </w:r>
      <w:r>
        <w:rPr>
          <w:rFonts w:ascii="Times New Roman" w:cs="Times New Roman" w:eastAsia="Times New Roman" w:hAnsi="Times New Roman"/>
          <w:sz w:val="22"/>
          <w:szCs w:val="22"/>
          <w:b w:val="1"/>
          <w:bCs w:val="1"/>
          <w:color w:val="auto"/>
        </w:rPr>
        <w:t>erroneously awarded compensation</w:t>
      </w:r>
      <w:r>
        <w:rPr>
          <w:rFonts w:ascii="Times New Roman" w:cs="Times New Roman" w:eastAsia="Times New Roman" w:hAnsi="Times New Roman"/>
          <w:sz w:val="22"/>
          <w:szCs w:val="22"/>
          <w:color w:val="auto"/>
        </w:rPr>
        <w:t>”) is the amount of incentive-based compensation received that exceeds the amount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incentive-based compensation that otherwise would have been received had it been determined based on the restated amounts, and shall be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(i) the amount shall be based on a reasonable estimate of the effect of the accounting restatement on the stock price or total shareholder return upon which the incentive-based compensation was received; and (ii) the Company shall maintain documentation of the determination of that reasonable estimate and provide such documentation to the Exchange.</w:t>
      </w:r>
    </w:p>
    <w:p>
      <w:pPr>
        <w:spacing w:after="0" w:line="220" w:lineRule="exact"/>
        <w:rPr>
          <w:rFonts w:ascii="Times New Roman" w:cs="Times New Roman" w:eastAsia="Times New Roman" w:hAnsi="Times New Roman"/>
          <w:sz w:val="22"/>
          <w:szCs w:val="22"/>
          <w:color w:val="auto"/>
        </w:rPr>
      </w:pPr>
    </w:p>
    <w:p>
      <w:pPr>
        <w:ind w:left="644" w:hanging="644"/>
        <w:spacing w:after="0" w:line="253" w:lineRule="auto"/>
        <w:tabs>
          <w:tab w:leader="none" w:pos="63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Impracticability of Recovery</w:t>
      </w:r>
      <w:r>
        <w:rPr>
          <w:rFonts w:ascii="Times New Roman" w:cs="Times New Roman" w:eastAsia="Times New Roman" w:hAnsi="Times New Roman"/>
          <w:sz w:val="22"/>
          <w:szCs w:val="22"/>
          <w:color w:val="auto"/>
        </w:rPr>
        <w:t>. The Company shall recover erroneously awarded compensation in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this Policy except to the extent that the conditions of clauses (i), (ii) or (iii) below are met, and the Committee (or in the absence thereof, a majority of the independent directors serving on the Board) has made a determination that recovery would be impracticable.</w:t>
      </w:r>
    </w:p>
    <w:p>
      <w:pPr>
        <w:spacing w:after="0" w:line="206" w:lineRule="exact"/>
        <w:rPr>
          <w:rFonts w:ascii="Times New Roman" w:cs="Times New Roman" w:eastAsia="Times New Roman" w:hAnsi="Times New Roman"/>
          <w:sz w:val="22"/>
          <w:szCs w:val="22"/>
          <w:color w:val="auto"/>
        </w:rPr>
      </w:pPr>
    </w:p>
    <w:p>
      <w:pPr>
        <w:ind w:left="1304" w:hanging="656"/>
        <w:spacing w:after="0" w:line="253" w:lineRule="auto"/>
        <w:tabs>
          <w:tab w:leader="none" w:pos="1292"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to be recovered.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4"/>
          </w:cols>
          <w:pgMar w:left="976" w:top="1422" w:right="339" w:bottom="1440" w:gutter="0" w:footer="0" w:header="0"/>
        </w:sectPr>
      </w:pPr>
    </w:p>
    <w:bookmarkStart w:id="160" w:name="page161"/>
    <w:bookmarkEnd w:id="160"/>
    <w:p>
      <w:pPr>
        <w:ind w:left="1952" w:right="540" w:hanging="656"/>
        <w:spacing w:after="0" w:line="253" w:lineRule="auto"/>
        <w:tabs>
          <w:tab w:leader="none" w:pos="1946"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w:t>
      </w:r>
    </w:p>
    <w:p>
      <w:pPr>
        <w:spacing w:after="0" w:line="205" w:lineRule="exact"/>
        <w:rPr>
          <w:rFonts w:ascii="Times New Roman" w:cs="Times New Roman" w:eastAsia="Times New Roman" w:hAnsi="Times New Roman"/>
          <w:sz w:val="22"/>
          <w:szCs w:val="22"/>
          <w:color w:val="auto"/>
        </w:rPr>
      </w:pPr>
    </w:p>
    <w:p>
      <w:pPr>
        <w:ind w:left="1952" w:right="140" w:hanging="656"/>
        <w:spacing w:after="0" w:line="257" w:lineRule="auto"/>
        <w:tabs>
          <w:tab w:leader="none" w:pos="1952"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209" w:lineRule="exact"/>
        <w:rPr>
          <w:rFonts w:ascii="Times New Roman" w:cs="Times New Roman" w:eastAsia="Times New Roman" w:hAnsi="Times New Roman"/>
          <w:sz w:val="22"/>
          <w:szCs w:val="22"/>
          <w:color w:val="auto"/>
        </w:rPr>
      </w:pPr>
    </w:p>
    <w:p>
      <w:pPr>
        <w:ind w:left="1292" w:right="560" w:hanging="644"/>
        <w:spacing w:after="0" w:line="275" w:lineRule="auto"/>
        <w:tabs>
          <w:tab w:leader="none" w:pos="1289"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Prohibition on Indemnification</w:t>
      </w:r>
      <w:r>
        <w:rPr>
          <w:rFonts w:ascii="Times New Roman" w:cs="Times New Roman" w:eastAsia="Times New Roman" w:hAnsi="Times New Roman"/>
          <w:sz w:val="22"/>
          <w:szCs w:val="22"/>
          <w:color w:val="auto"/>
        </w:rPr>
        <w:t>. The Company shall not indemnify any current or former executive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the loss of erroneously awarded compensation.</w:t>
      </w:r>
    </w:p>
    <w:p>
      <w:pPr>
        <w:spacing w:after="0" w:line="176" w:lineRule="exact"/>
        <w:rPr>
          <w:rFonts w:ascii="Times New Roman" w:cs="Times New Roman" w:eastAsia="Times New Roman" w:hAnsi="Times New Roman"/>
          <w:sz w:val="22"/>
          <w:szCs w:val="22"/>
          <w:color w:val="auto"/>
        </w:rPr>
      </w:pPr>
    </w:p>
    <w:p>
      <w:pPr>
        <w:ind w:left="1292" w:right="40" w:hanging="644"/>
        <w:spacing w:after="0" w:line="253" w:lineRule="auto"/>
        <w:tabs>
          <w:tab w:leader="none" w:pos="129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Method of Recovery</w:t>
      </w:r>
      <w:r>
        <w:rPr>
          <w:rFonts w:ascii="Times New Roman" w:cs="Times New Roman" w:eastAsia="Times New Roman" w:hAnsi="Times New Roman"/>
          <w:sz w:val="22"/>
          <w:szCs w:val="22"/>
          <w:color w:val="auto"/>
        </w:rPr>
        <w:t>. The Committee shall determine, in its sole and exclusive discretion, the method or methods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 recovering any erroneously awarded compensation, which methods need not be the same, or applied in the same manner, to each executive officer,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method shall provide for reasonably prompt recovery and otherwise comply with any requirements of the Exchange.</w:t>
      </w:r>
    </w:p>
    <w:p>
      <w:pPr>
        <w:spacing w:after="0" w:line="215" w:lineRule="exact"/>
        <w:rPr>
          <w:rFonts w:ascii="Times New Roman" w:cs="Times New Roman" w:eastAsia="Times New Roman" w:hAnsi="Times New Roman"/>
          <w:sz w:val="22"/>
          <w:szCs w:val="22"/>
          <w:color w:val="auto"/>
        </w:rPr>
      </w:pPr>
    </w:p>
    <w:p>
      <w:pPr>
        <w:ind w:left="652" w:right="140" w:hanging="652"/>
        <w:spacing w:after="0" w:line="275" w:lineRule="auto"/>
        <w:tabs>
          <w:tab w:leader="none" w:pos="652"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Disclosure</w:t>
      </w:r>
      <w:r>
        <w:rPr>
          <w:rFonts w:ascii="Times New Roman" w:cs="Times New Roman" w:eastAsia="Times New Roman" w:hAnsi="Times New Roman"/>
          <w:sz w:val="22"/>
          <w:szCs w:val="22"/>
          <w:color w:val="auto"/>
        </w:rPr>
        <w:t>. The Company shall file all disclosures with respect to this Policy in accordance with the requirements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securities laws, including the disclosure required by the applicable rules of the SEC.</w:t>
      </w:r>
    </w:p>
    <w:p>
      <w:pPr>
        <w:spacing w:after="0" w:line="176"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b w:val="1"/>
          <w:bCs w:val="1"/>
          <w:color w:val="auto"/>
        </w:rPr>
      </w:pPr>
    </w:p>
    <w:p>
      <w:pPr>
        <w:ind w:left="1292" w:right="80" w:hanging="644"/>
        <w:spacing w:after="0" w:line="254" w:lineRule="auto"/>
        <w:tabs>
          <w:tab w:leader="none" w:pos="1289"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This Policy is adopted as of October 24, 2023 and shall be retroactively effective as of October 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2023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and shall replace the Charter Communications Compensation Recovery Policy, adopted July 29, 2014 and amended through April 28, 2015 (the “</w:t>
      </w:r>
      <w:r>
        <w:rPr>
          <w:rFonts w:ascii="Times New Roman" w:cs="Times New Roman" w:eastAsia="Times New Roman" w:hAnsi="Times New Roman"/>
          <w:sz w:val="22"/>
          <w:szCs w:val="22"/>
          <w:b w:val="1"/>
          <w:bCs w:val="1"/>
          <w:color w:val="auto"/>
        </w:rPr>
        <w:t>Prior Policy</w:t>
      </w:r>
      <w:r>
        <w:rPr>
          <w:rFonts w:ascii="Times New Roman" w:cs="Times New Roman" w:eastAsia="Times New Roman" w:hAnsi="Times New Roman"/>
          <w:sz w:val="22"/>
          <w:szCs w:val="22"/>
          <w:color w:val="auto"/>
        </w:rPr>
        <w:t xml:space="preserve">”), in its entirety,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Prior Policy shall continue to apply to compensation received or outstanding prior to the Effective Date to the extent not subject to this Policy.</w:t>
      </w:r>
    </w:p>
    <w:p>
      <w:pPr>
        <w:spacing w:after="0" w:line="200" w:lineRule="exact"/>
        <w:rPr>
          <w:rFonts w:ascii="Times New Roman" w:cs="Times New Roman" w:eastAsia="Times New Roman" w:hAnsi="Times New Roman"/>
          <w:sz w:val="22"/>
          <w:szCs w:val="22"/>
          <w:color w:val="auto"/>
        </w:rPr>
      </w:pPr>
    </w:p>
    <w:p>
      <w:pPr>
        <w:ind w:left="1292" w:hanging="644"/>
        <w:spacing w:after="0" w:line="252" w:lineRule="auto"/>
        <w:tabs>
          <w:tab w:leader="none" w:pos="1287"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Authority of Committee</w:t>
      </w:r>
      <w:r>
        <w:rPr>
          <w:rFonts w:ascii="Times New Roman" w:cs="Times New Roman" w:eastAsia="Times New Roman" w:hAnsi="Times New Roman"/>
          <w:sz w:val="22"/>
          <w:szCs w:val="22"/>
          <w:color w:val="auto"/>
        </w:rPr>
        <w:t>. This Policy shall be administered and interpreted by the Committee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Listing Rule 5608, Section 10D of the Exchange Act and other applicable Federal securities laws and regulations. Except as limited by applicable law, and subject to the provisions of this Policy, the Committee shall have full power, authority and sole and exclusive discretion to construe, interpret and administer this Policy, and to delegate its authority pursuant to this Policy. In addition, the Committee shall have full and exclusive power to adopt such rules, regulations and guidelines for carrying out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12"/>
          </w:cols>
          <w:pgMar w:left="328" w:top="1422" w:right="359" w:bottom="1440" w:gutter="0" w:footer="0" w:header="0"/>
        </w:sectPr>
      </w:pPr>
    </w:p>
    <w:bookmarkStart w:id="161" w:name="page162"/>
    <w:bookmarkEnd w:id="161"/>
    <w:p>
      <w:pPr>
        <w:jc w:val="both"/>
        <w:ind w:left="644" w:right="260"/>
        <w:spacing w:after="0" w:line="257" w:lineRule="auto"/>
        <w:rPr>
          <w:sz w:val="20"/>
          <w:szCs w:val="20"/>
          <w:color w:val="auto"/>
        </w:rPr>
      </w:pPr>
      <w:r>
        <w:rPr>
          <w:rFonts w:ascii="Times New Roman" w:cs="Times New Roman" w:eastAsia="Times New Roman" w:hAnsi="Times New Roman"/>
          <w:sz w:val="22"/>
          <w:szCs w:val="22"/>
          <w:color w:val="auto"/>
        </w:rPr>
        <w:t>and to amend this Policy, in each case, as it may deem necessary or proper. Subject to Section 3(d), this Policy also may be administered by the Board, and references in this Policy to the “Committee” shall be understood to also refer to the full Board.</w:t>
      </w:r>
    </w:p>
    <w:p>
      <w:pPr>
        <w:spacing w:after="0" w:line="209" w:lineRule="exact"/>
        <w:rPr>
          <w:sz w:val="20"/>
          <w:szCs w:val="20"/>
          <w:color w:val="auto"/>
        </w:rPr>
      </w:pPr>
    </w:p>
    <w:p>
      <w:pPr>
        <w:ind w:left="644" w:hanging="644"/>
        <w:spacing w:after="0" w:line="252" w:lineRule="auto"/>
        <w:tabs>
          <w:tab w:leader="none" w:pos="64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Decisions Binding</w:t>
      </w:r>
      <w:r>
        <w:rPr>
          <w:rFonts w:ascii="Times New Roman" w:cs="Times New Roman" w:eastAsia="Times New Roman" w:hAnsi="Times New Roman"/>
          <w:sz w:val="22"/>
          <w:szCs w:val="22"/>
          <w:color w:val="auto"/>
        </w:rPr>
        <w:t>. In making any determination or in taking or not taking any action under this Policy,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may obtain and rely on the advice of experts, including employees of, and professional advisors to, the Company. Any action taken by, or inaction of, the Committee or its delegates relating to or pursuant to this Policy shall be within the absolute discretion of the Committee or its delegates. Such action or inaction of the Committee or its delegates shall be conclusive and binding on the Company and any current or former executive officer affected by such action or inaction.</w:t>
      </w:r>
    </w:p>
    <w:p>
      <w:pPr>
        <w:spacing w:after="0" w:line="201" w:lineRule="exact"/>
        <w:rPr>
          <w:rFonts w:ascii="Times New Roman" w:cs="Times New Roman" w:eastAsia="Times New Roman" w:hAnsi="Times New Roman"/>
          <w:sz w:val="22"/>
          <w:szCs w:val="22"/>
          <w:color w:val="auto"/>
        </w:rPr>
      </w:pPr>
    </w:p>
    <w:p>
      <w:pPr>
        <w:ind w:left="644" w:right="140" w:hanging="644"/>
        <w:spacing w:after="0" w:line="251" w:lineRule="auto"/>
        <w:tabs>
          <w:tab w:leader="none" w:pos="6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Policy Not Exclusive</w:t>
      </w:r>
      <w:r>
        <w:rPr>
          <w:rFonts w:ascii="Times New Roman" w:cs="Times New Roman" w:eastAsia="Times New Roman" w:hAnsi="Times New Roman"/>
          <w:sz w:val="22"/>
          <w:szCs w:val="22"/>
          <w:color w:val="auto"/>
        </w:rPr>
        <w:t>. Any right of recovery under this Policy is in addition to, and not in lieu of,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remedies or rights of recovery, recoupment, forfeiture or offset that may be available to the Company pursuant to the terms of any other applicable Company policy, compensation or benefit plan, agreement or arrangement or other agreement or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there shall be no duplication of recovery of the same compensation.</w:t>
      </w:r>
    </w:p>
    <w:p>
      <w:pPr>
        <w:spacing w:after="0" w:line="200" w:lineRule="exact"/>
        <w:rPr>
          <w:rFonts w:ascii="Times New Roman" w:cs="Times New Roman" w:eastAsia="Times New Roman" w:hAnsi="Times New Roman"/>
          <w:sz w:val="22"/>
          <w:szCs w:val="22"/>
          <w:color w:val="auto"/>
        </w:rPr>
      </w:pPr>
    </w:p>
    <w:p>
      <w:pPr>
        <w:spacing w:after="0" w:line="263" w:lineRule="exact"/>
        <w:rPr>
          <w:rFonts w:ascii="Times New Roman" w:cs="Times New Roman" w:eastAsia="Times New Roman" w:hAnsi="Times New Roman"/>
          <w:sz w:val="22"/>
          <w:szCs w:val="22"/>
          <w:color w:val="auto"/>
        </w:rPr>
      </w:pPr>
    </w:p>
    <w:p>
      <w:pPr>
        <w:ind w:left="460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44"/>
          </w:cols>
          <w:pgMar w:left="976" w:top="1422" w:right="379" w:bottom="1440" w:gutter="0" w:footer="0" w:header="0"/>
        </w:sectPr>
      </w:pPr>
    </w:p>
    <w:bookmarkStart w:id="162" w:name="page163"/>
    <w:bookmarkEnd w:id="162"/>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CHARTER COMMUNICATIONS, INC.</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21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ACKNOWLEDGEMENT FORM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below, I, the undersigned, acknowledge and agree as follows:</w:t>
      </w:r>
    </w:p>
    <w:p>
      <w:pPr>
        <w:spacing w:after="0" w:line="247" w:lineRule="exact"/>
        <w:rPr>
          <w:sz w:val="20"/>
          <w:szCs w:val="20"/>
          <w:color w:val="auto"/>
        </w:rPr>
      </w:pPr>
    </w:p>
    <w:p>
      <w:pPr>
        <w:ind w:left="540" w:right="200" w:hanging="328"/>
        <w:spacing w:after="0" w:line="271" w:lineRule="auto"/>
        <w:tabs>
          <w:tab w:leader="none" w:pos="5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received and reviewed a copy of the Charter Communications, Inc. Compensation Recovery Policy (as it may be amended, restated, supplemented or otherwise modified from time to time,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ind w:left="540" w:right="140" w:hanging="328"/>
        <w:spacing w:after="0" w:line="271" w:lineRule="auto"/>
        <w:tabs>
          <w:tab w:leader="none" w:pos="5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bound by, subject to, and shall comply with, all terms and conditions of the Policy, both during and after my period of employment or service with the Company and its affiliates;</w:t>
      </w:r>
    </w:p>
    <w:p>
      <w:pPr>
        <w:spacing w:after="0" w:line="198" w:lineRule="exact"/>
        <w:rPr>
          <w:rFonts w:ascii="Times New Roman" w:cs="Times New Roman" w:eastAsia="Times New Roman" w:hAnsi="Times New Roman"/>
          <w:sz w:val="22"/>
          <w:szCs w:val="22"/>
          <w:color w:val="auto"/>
        </w:rPr>
      </w:pPr>
    </w:p>
    <w:p>
      <w:pPr>
        <w:ind w:left="540" w:right="240" w:hanging="328"/>
        <w:spacing w:after="0" w:line="257" w:lineRule="auto"/>
        <w:tabs>
          <w:tab w:leader="none" w:pos="5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the Policy and the terms of any employment or other agreement to which I am a party, or any compensation or benefit plan, program or arrangement in which I participate, the terms of the Policy shall govern; and</w:t>
      </w:r>
    </w:p>
    <w:p>
      <w:pPr>
        <w:spacing w:after="0" w:line="199" w:lineRule="exact"/>
        <w:rPr>
          <w:rFonts w:ascii="Times New Roman" w:cs="Times New Roman" w:eastAsia="Times New Roman" w:hAnsi="Times New Roman"/>
          <w:sz w:val="22"/>
          <w:szCs w:val="22"/>
          <w:color w:val="auto"/>
        </w:rPr>
      </w:pPr>
    </w:p>
    <w:p>
      <w:pPr>
        <w:jc w:val="both"/>
        <w:ind w:left="540" w:hanging="328"/>
        <w:spacing w:after="0" w:line="257" w:lineRule="auto"/>
        <w:tabs>
          <w:tab w:leader="none" w:pos="5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is determined by the Committee (as defined in the Policy) that any amounts granted, awarded, paid or provided to me should be forfeited or reimbursed to the Company or its affiliates, I shall promptly take any action necessary to effectuate such forfeiture and/or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-160020</wp:posOffset>
            </wp:positionV>
            <wp:extent cx="3566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0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-160020</wp:posOffset>
            </wp:positionV>
            <wp:extent cx="3566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0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-160020</wp:posOffset>
            </wp:positionV>
            <wp:extent cx="3566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-6-</w:t>
      </w:r>
    </w:p>
    <w:sectPr>
      <w:pgSz w:w="11900" w:h="16838" w:orient="portrait"/>
      <w:cols w:equalWidth="0" w:num="1">
        <w:col w:w="11060"/>
      </w:cols>
      <w:pgMar w:left="440" w:top="141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1)"/>
      <w:numFmt w:val="lowerLetter"/>
      <w:start w:val="1"/>
    </w:lvl>
  </w:abstractNum>
  <w:abstractNum w:abstractNumId="4">
    <w:nsid w:val="15B5AF5C"/>
    <w:multiLevelType w:val="hybridMultilevel"/>
    <w:lvl w:ilvl="0">
      <w:lvlJc w:val="left"/>
      <w:lvlText w:val="(%1)"/>
      <w:numFmt w:val="lowerLetter"/>
      <w:start w:val="5"/>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1)"/>
      <w:numFmt w:val="decimal"/>
      <w:start w:val="1"/>
    </w:lvl>
  </w:abstractNum>
  <w:abstractNum w:abstractNumId="16">
    <w:nsid w:val="25A70BF7"/>
    <w:multiLevelType w:val="hybridMultilevel"/>
    <w:lvl w:ilvl="0">
      <w:lvlJc w:val="left"/>
      <w:lvlText w:val="(%1)"/>
      <w:numFmt w:val="decimal"/>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1)"/>
      <w:numFmt w:val="lowerRoman"/>
      <w:start w:val="3"/>
    </w:lvl>
  </w:abstractNum>
  <w:abstractNum w:abstractNumId="22">
    <w:nsid w:val="100F8FCA"/>
    <w:multiLevelType w:val="hybridMultilevel"/>
    <w:lvl w:ilvl="0">
      <w:lvlJc w:val="left"/>
      <w:lvlText w:val="(%1)"/>
      <w:numFmt w:val="lowerLetter"/>
      <w:start w:val="1"/>
    </w:lvl>
  </w:abstractNum>
  <w:abstractNum w:abstractNumId="23">
    <w:nsid w:val="6590700B"/>
    <w:multiLevelType w:val="hybridMultilevel"/>
    <w:lvl w:ilvl="0">
      <w:lvlJc w:val="left"/>
      <w:lvlText w:val="(%1)"/>
      <w:numFmt w:val="lowerLetter"/>
      <w:start w:val="1"/>
    </w:lvl>
  </w:abstractNum>
  <w:abstractNum w:abstractNumId="24">
    <w:nsid w:val="15014ACB"/>
    <w:multiLevelType w:val="hybridMultilevel"/>
    <w:lvl w:ilvl="0">
      <w:lvlJc w:val="left"/>
      <w:lvlText w:val="(%1)"/>
      <w:numFmt w:val="lowerLetter"/>
      <w:start w:val="2"/>
    </w:lvl>
  </w:abstractNum>
  <w:abstractNum w:abstractNumId="25">
    <w:nsid w:val="5F5E7FD0"/>
    <w:multiLevelType w:val="hybridMultilevel"/>
    <w:lvl w:ilvl="0">
      <w:lvlJc w:val="left"/>
      <w:lvlText w:val="(%1)"/>
      <w:numFmt w:val="lowerRoman"/>
      <w:start w:val="3"/>
    </w:lvl>
  </w:abstractNum>
  <w:abstractNum w:abstractNumId="26">
    <w:nsid w:val="98A3148"/>
    <w:multiLevelType w:val="hybridMultilevel"/>
    <w:lvl w:ilvl="0">
      <w:lvlJc w:val="left"/>
      <w:lvlText w:val="%1:"/>
      <w:numFmt w:val="decimal"/>
      <w:start w:val="1"/>
    </w:lvl>
  </w:abstractNum>
  <w:abstractNum w:abstractNumId="27">
    <w:nsid w:val="799D0247"/>
    <w:multiLevelType w:val="hybridMultilevel"/>
    <w:lvl w:ilvl="0">
      <w:lvlJc w:val="left"/>
      <w:lvlText w:val="(%1)"/>
      <w:numFmt w:val="lowerLetter"/>
      <w:start w:val="1"/>
    </w:lvl>
    <w:lvl w:ilvl="1">
      <w:lvlJc w:val="left"/>
      <w:lvlText w:val="(%2)"/>
      <w:numFmt w:val="decimal"/>
      <w:start w:val="1"/>
    </w:lvl>
  </w:abstractNum>
  <w:abstractNum w:abstractNumId="28">
    <w:nsid w:val="6B94764"/>
    <w:multiLevelType w:val="hybridMultilevel"/>
    <w:lvl w:ilvl="0">
      <w:lvlJc w:val="left"/>
      <w:lvlText w:val="(%1)"/>
      <w:numFmt w:val="decimal"/>
      <w:start w:val="2"/>
    </w:lvl>
  </w:abstractNum>
  <w:abstractNum w:abstractNumId="29">
    <w:nsid w:val="42C296BD"/>
    <w:multiLevelType w:val="hybridMultilevel"/>
    <w:lvl w:ilvl="0">
      <w:lvlJc w:val="left"/>
      <w:lvlText w:val="%1"/>
      <w:numFmt w:val="decimal"/>
      <w:start w:val="10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1)"/>
      <w:numFmt w:val="lowerLetter"/>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1)"/>
      <w:numFmt w:val="lowerRoman"/>
      <w:start w:val="3"/>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1."/>
      <w:numFmt w:val="decimal"/>
      <w:start w:val="11"/>
    </w:lvl>
  </w:abstractNum>
  <w:abstractNum w:abstractNumId="37">
    <w:nsid w:val="613EFDC5"/>
    <w:multiLevelType w:val="hybridMultilevel"/>
    <w:lvl w:ilvl="0">
      <w:lvlJc w:val="left"/>
      <w:lvlText w:val="%1."/>
      <w:numFmt w:val="decimal"/>
      <w:start w:val="13"/>
    </w:lvl>
  </w:abstractNum>
  <w:abstractNum w:abstractNumId="38">
    <w:nsid w:val="BF72B14"/>
    <w:multiLevelType w:val="hybridMultilevel"/>
    <w:lvl w:ilvl="0">
      <w:lvlJc w:val="left"/>
      <w:lvlText w:val="%1."/>
      <w:numFmt w:val="decimal"/>
      <w:start w:val="14"/>
    </w:lvl>
  </w:abstractNum>
  <w:abstractNum w:abstractNumId="39">
    <w:nsid w:val="11447B73"/>
    <w:multiLevelType w:val="hybridMultilevel"/>
    <w:lvl w:ilvl="0">
      <w:lvlJc w:val="left"/>
      <w:lvlText w:val="%1."/>
      <w:numFmt w:val="decimal"/>
      <w:start w:val="16"/>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1)"/>
      <w:numFmt w:val="lowerLetter"/>
      <w:start w:val="1"/>
    </w:lvl>
  </w:abstractNum>
  <w:abstractNum w:abstractNumId="42">
    <w:nsid w:val="8F2B15E"/>
    <w:multiLevelType w:val="hybridMultilevel"/>
    <w:lvl w:ilvl="0">
      <w:lvlJc w:val="left"/>
      <w:lvlText w:val="%1."/>
      <w:numFmt w:val="decimal"/>
      <w:start w:val="23"/>
    </w:lvl>
  </w:abstractNum>
  <w:abstractNum w:abstractNumId="43">
    <w:nsid w:val="1A32234B"/>
    <w:multiLevelType w:val="hybridMultilevel"/>
    <w:lvl w:ilvl="0">
      <w:lvlJc w:val="left"/>
      <w:lvlText w:val="%1."/>
      <w:numFmt w:val="decimal"/>
      <w:start w:val="1"/>
    </w:lvl>
  </w:abstractNum>
  <w:abstractNum w:abstractNumId="44">
    <w:nsid w:val="3B0FD379"/>
    <w:multiLevelType w:val="hybridMultilevel"/>
    <w:lvl w:ilvl="0">
      <w:lvlJc w:val="left"/>
      <w:lvlText w:val="%1."/>
      <w:numFmt w:val="decimal"/>
      <w:start w:val="2"/>
    </w:lvl>
  </w:abstractNum>
  <w:abstractNum w:abstractNumId="45">
    <w:nsid w:val="68EB2F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6">
    <w:nsid w:val="4962813B"/>
    <w:multiLevelType w:val="hybridMultilevel"/>
    <w:lvl w:ilvl="0">
      <w:lvlJc w:val="left"/>
      <w:lvlText w:val="(%1)"/>
      <w:numFmt w:val="lowerRoman"/>
      <w:start w:val="2"/>
    </w:lvl>
  </w:abstractNum>
  <w:abstractNum w:abstractNumId="47">
    <w:nsid w:val="60B6DF70"/>
    <w:multiLevelType w:val="hybridMultilevel"/>
    <w:lvl w:ilvl="0">
      <w:lvlJc w:val="left"/>
      <w:lvlText w:val="(%1)"/>
      <w:numFmt w:val="lowerLetter"/>
      <w:start w:val="5"/>
    </w:lvl>
    <w:lvl w:ilvl="1">
      <w:lvlJc w:val="left"/>
      <w:lvlText w:val="(%2)"/>
      <w:numFmt w:val="lowerRoman"/>
      <w:start w:val="1"/>
    </w:lvl>
  </w:abstractNum>
  <w:abstractNum w:abstractNumId="48">
    <w:nsid w:val="6A5EE64"/>
    <w:multiLevelType w:val="hybridMultilevel"/>
    <w:lvl w:ilvl="0">
      <w:lvlJc w:val="left"/>
      <w:lvlText w:val="%1"/>
      <w:numFmt w:val="upperLetter"/>
      <w:start w:val="1"/>
    </w:lvl>
    <w:lvl w:ilvl="1">
      <w:lvlJc w:val="left"/>
      <w:lvlText w:val="(%2)"/>
      <w:numFmt w:val="lowerRoman"/>
      <w:start w:val="3"/>
    </w:lvl>
  </w:abstractNum>
  <w:abstractNum w:abstractNumId="49">
    <w:nsid w:val="14330624"/>
    <w:multiLevelType w:val="hybridMultilevel"/>
    <w:lvl w:ilvl="0">
      <w:lvlJc w:val="left"/>
      <w:lvlText w:val="(%1)"/>
      <w:numFmt w:val="upperLetter"/>
      <w:start w:val="25"/>
    </w:lvl>
    <w:lvl w:ilvl="1">
      <w:lvlJc w:val="left"/>
      <w:lvlText w:val="(%2)"/>
      <w:numFmt w:val="lowerRoman"/>
      <w:start w:val="4"/>
    </w:lvl>
  </w:abstractNum>
  <w:abstractNum w:abstractNumId="50">
    <w:nsid w:val="7FFFCA11"/>
    <w:multiLevelType w:val="hybridMultilevel"/>
    <w:lvl w:ilvl="0">
      <w:lvlJc w:val="left"/>
      <w:lvlText w:val="(%1)"/>
      <w:numFmt w:val="lowerLetter"/>
      <w:start w:val="6"/>
    </w:lvl>
  </w:abstractNum>
  <w:abstractNum w:abstractNumId="51">
    <w:nsid w:val="1A27709E"/>
    <w:multiLevelType w:val="hybridMultilevel"/>
    <w:lvl w:ilvl="0">
      <w:lvlJc w:val="left"/>
      <w:lvlText w:val="(%1)"/>
      <w:numFmt w:val="lowerLetter"/>
      <w:start w:val="10"/>
    </w:lvl>
  </w:abstractNum>
  <w:abstractNum w:abstractNumId="52">
    <w:nsid w:val="71EA1109"/>
    <w:multiLevelType w:val="hybridMultilevel"/>
    <w:lvl w:ilvl="0">
      <w:lvlJc w:val="left"/>
      <w:lvlText w:val="%1"/>
      <w:numFmt w:val="decimal"/>
      <w:start w:val="1"/>
    </w:lvl>
    <w:lvl w:ilvl="1">
      <w:lvlJc w:val="left"/>
      <w:lvlText w:val="(%2)"/>
      <w:numFmt w:val="lowerLetter"/>
      <w:start w:val="16"/>
    </w:lvl>
  </w:abstractNum>
  <w:abstractNum w:abstractNumId="53">
    <w:nsid w:val="100F59DC"/>
    <w:multiLevelType w:val="hybridMultilevel"/>
    <w:lvl w:ilvl="0">
      <w:lvlJc w:val="left"/>
      <w:lvlText w:val="%1."/>
      <w:numFmt w:val="decimal"/>
      <w:start w:val="2"/>
    </w:lvl>
    <w:lvl w:ilvl="1">
      <w:lvlJc w:val="left"/>
      <w:lvlText w:val="%2"/>
      <w:numFmt w:val="lowerLetter"/>
      <w:start w:val="1"/>
    </w:lvl>
  </w:abstractNum>
  <w:abstractNum w:abstractNumId="54">
    <w:nsid w:val="7FB7E0AA"/>
    <w:multiLevelType w:val="hybridMultilevel"/>
    <w:lvl w:ilvl="0">
      <w:lvlJc w:val="left"/>
      <w:lvlText w:val="%1"/>
      <w:numFmt w:val="decimal"/>
      <w:start w:val="1"/>
    </w:lvl>
    <w:lvl w:ilvl="1">
      <w:lvlJc w:val="left"/>
      <w:lvlText w:val="(%2)"/>
      <w:numFmt w:val="lowerLetter"/>
      <w:start w:val="1"/>
    </w:lvl>
  </w:abstractNum>
  <w:abstractNum w:abstractNumId="55">
    <w:nsid w:val="6EB5BD4"/>
    <w:multiLevelType w:val="hybridMultilevel"/>
    <w:lvl w:ilvl="0">
      <w:lvlJc w:val="left"/>
      <w:lvlText w:val="%1."/>
      <w:numFmt w:val="decimal"/>
      <w:start w:val="4"/>
    </w:lvl>
    <w:lvl w:ilvl="1">
      <w:lvlJc w:val="left"/>
      <w:lvlText w:val="%2"/>
      <w:numFmt w:val="lowerLetter"/>
      <w:start w:val="1"/>
    </w:lvl>
  </w:abstractNum>
  <w:abstractNum w:abstractNumId="56">
    <w:nsid w:val="6F6DD9AC"/>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57">
    <w:nsid w:val="94211F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8">
    <w:nsid w:val="885E1B"/>
    <w:multiLevelType w:val="hybridMultilevel"/>
    <w:lvl w:ilvl="0">
      <w:lvlJc w:val="left"/>
      <w:lvlText w:val="%1"/>
      <w:numFmt w:val="lowerLetter"/>
      <w:start w:val="1"/>
    </w:lvl>
    <w:lvl w:ilvl="1">
      <w:lvlJc w:val="left"/>
      <w:lvlText w:val="(%2)"/>
      <w:numFmt w:val="lowerRoman"/>
      <w:start w:val="5"/>
    </w:lvl>
  </w:abstractNum>
  <w:abstractNum w:abstractNumId="59">
    <w:nsid w:val="76272110"/>
    <w:multiLevelType w:val="hybridMultilevel"/>
    <w:lvl w:ilvl="0">
      <w:lvlJc w:val="left"/>
      <w:lvlText w:val="(%1)"/>
      <w:numFmt w:val="lowerLetter"/>
      <w:start w:val="2"/>
    </w:lvl>
    <w:lvl w:ilvl="1">
      <w:lvlJc w:val="left"/>
      <w:lvlText w:val="%2"/>
      <w:numFmt w:val="lowerRoman"/>
      <w:start w:val="1"/>
    </w:lvl>
  </w:abstractNum>
  <w:abstractNum w:abstractNumId="60">
    <w:nsid w:val="4C04A8AF"/>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61">
    <w:nsid w:val="1716703B"/>
    <w:multiLevelType w:val="hybridMultilevel"/>
    <w:lvl w:ilvl="0">
      <w:lvlJc w:val="left"/>
      <w:lvlText w:val="(%1)"/>
      <w:numFmt w:val="decimal"/>
      <w:start w:val="60"/>
    </w:lvl>
    <w:lvl w:ilvl="1">
      <w:lvlJc w:val="left"/>
      <w:lvlText w:val="%2"/>
      <w:numFmt w:val="decimal"/>
      <w:start w:val="1"/>
    </w:lvl>
    <w:lvl w:ilvl="2">
      <w:lvlJc w:val="left"/>
      <w:lvlText w:val="%3"/>
      <w:numFmt w:val="lowerLetter"/>
      <w:start w:val="1"/>
    </w:lvl>
  </w:abstractNum>
  <w:abstractNum w:abstractNumId="62">
    <w:nsid w:val="14E17E33"/>
    <w:multiLevelType w:val="hybridMultilevel"/>
    <w:lvl w:ilvl="0">
      <w:lvlJc w:val="left"/>
      <w:lvlText w:val="(%1)"/>
      <w:numFmt w:val="upperLetter"/>
      <w:start w:val="1"/>
    </w:lvl>
  </w:abstractNum>
  <w:abstractNum w:abstractNumId="63">
    <w:nsid w:val="3222E7CD"/>
    <w:multiLevelType w:val="hybridMultilevel"/>
    <w:lvl w:ilvl="0">
      <w:lvlJc w:val="left"/>
      <w:lvlText w:val="%1"/>
      <w:numFmt w:val="upperLetter"/>
      <w:start w:val="1"/>
    </w:lvl>
    <w:lvl w:ilvl="1">
      <w:lvlJc w:val="left"/>
      <w:lvlText w:val="(%2)"/>
      <w:numFmt w:val="decimal"/>
      <w:start w:val="60"/>
    </w:lvl>
  </w:abstractNum>
  <w:abstractNum w:abstractNumId="64">
    <w:nsid w:val="74DE0EE3"/>
    <w:multiLevelType w:val="hybridMultilevel"/>
    <w:lvl w:ilvl="0">
      <w:lvlJc w:val="left"/>
      <w:lvlText w:val="(%1)"/>
      <w:numFmt w:val="upperLetter"/>
      <w:start w:val="2"/>
    </w:lvl>
    <w:lvl w:ilvl="1">
      <w:lvlJc w:val="left"/>
      <w:lvlText w:val="%2"/>
      <w:numFmt w:val="decimal"/>
      <w:start w:val="1"/>
    </w:lvl>
  </w:abstractNum>
  <w:abstractNum w:abstractNumId="65">
    <w:nsid w:val="68EBC550"/>
    <w:multiLevelType w:val="hybridMultilevel"/>
    <w:lvl w:ilvl="0">
      <w:lvlJc w:val="left"/>
      <w:lvlText w:val="%1"/>
      <w:numFmt w:val="lowerLetter"/>
      <w:start w:val="1"/>
    </w:lvl>
    <w:lvl w:ilvl="1">
      <w:lvlJc w:val="left"/>
      <w:lvlText w:val="(%2)"/>
      <w:numFmt w:val="lowerLetter"/>
      <w:start w:val="3"/>
    </w:lvl>
  </w:abstractNum>
  <w:abstractNum w:abstractNumId="66">
    <w:nsid w:val="2DF6D648"/>
    <w:multiLevelType w:val="hybridMultilevel"/>
    <w:lvl w:ilvl="0">
      <w:lvlJc w:val="left"/>
      <w:lvlText w:val="(%1)"/>
      <w:numFmt w:val="lowerLetter"/>
      <w:start w:val="35"/>
    </w:lvl>
    <w:lvl w:ilvl="1">
      <w:lvlJc w:val="left"/>
      <w:lvlText w:val="(%2)"/>
      <w:numFmt w:val="lowerLetter"/>
      <w:start w:val="5"/>
    </w:lvl>
  </w:abstractNum>
  <w:abstractNum w:abstractNumId="67">
    <w:nsid w:val="46B7D447"/>
    <w:multiLevelType w:val="hybridMultilevel"/>
    <w:lvl w:ilvl="0">
      <w:lvlJc w:val="left"/>
      <w:lvlText w:val="%1"/>
      <w:numFmt w:val="decimal"/>
      <w:start w:val="1"/>
    </w:lvl>
    <w:lvl w:ilvl="1">
      <w:lvlJc w:val="left"/>
      <w:lvlText w:val="(%2)"/>
      <w:numFmt w:val="lowerLetter"/>
      <w:start w:val="6"/>
    </w:lvl>
  </w:abstractNum>
  <w:abstractNum w:abstractNumId="68">
    <w:nsid w:val="4A2AC315"/>
    <w:multiLevelType w:val="hybridMultilevel"/>
    <w:lvl w:ilvl="0">
      <w:lvlJc w:val="left"/>
      <w:lvlText w:val="%1."/>
      <w:numFmt w:val="decimal"/>
      <w:start w:val="12"/>
    </w:lvl>
    <w:lvl w:ilvl="1">
      <w:lvlJc w:val="left"/>
      <w:lvlText w:val="(%2)"/>
      <w:numFmt w:val="lowerLetter"/>
      <w:start w:val="1"/>
    </w:lvl>
  </w:abstractNum>
  <w:abstractNum w:abstractNumId="69">
    <w:nsid w:val="39EE015C"/>
    <w:multiLevelType w:val="hybridMultilevel"/>
    <w:lvl w:ilvl="0">
      <w:lvlJc w:val="left"/>
      <w:lvlText w:val="(%1)"/>
      <w:numFmt w:val="lowerLetter"/>
      <w:start w:val="2"/>
    </w:lvl>
  </w:abstractNum>
  <w:abstractNum w:abstractNumId="70">
    <w:nsid w:val="57FC4FBB"/>
    <w:multiLevelType w:val="hybridMultilevel"/>
    <w:lvl w:ilvl="0">
      <w:lvlJc w:val="left"/>
      <w:lvlText w:val="%1"/>
      <w:numFmt w:val="decimal"/>
      <w:start w:val="1"/>
    </w:lvl>
    <w:lvl w:ilvl="1">
      <w:lvlJc w:val="left"/>
      <w:lvlText w:val="(%2)"/>
      <w:numFmt w:val="lowerLetter"/>
      <w:start w:val="4"/>
    </w:lvl>
  </w:abstractNum>
  <w:abstractNum w:abstractNumId="71">
    <w:nsid w:val="CC1016F"/>
    <w:multiLevelType w:val="hybridMultilevel"/>
    <w:lvl w:ilvl="0">
      <w:lvlJc w:val="left"/>
      <w:lvlText w:val="%1."/>
      <w:numFmt w:val="decimal"/>
      <w:start w:val="13"/>
    </w:lvl>
    <w:lvl w:ilvl="1">
      <w:lvlJc w:val="left"/>
      <w:lvlText w:val="%2"/>
      <w:numFmt w:val="lowerLetter"/>
      <w:start w:val="1"/>
    </w:lvl>
  </w:abstractNum>
  <w:abstractNum w:abstractNumId="72">
    <w:nsid w:val="43F18422"/>
    <w:multiLevelType w:val="hybridMultilevel"/>
    <w:lvl w:ilvl="0">
      <w:lvlJc w:val="left"/>
      <w:lvlText w:val="(%1)"/>
      <w:numFmt w:val="lowerLetter"/>
      <w:start w:val="1"/>
    </w:lvl>
    <w:lvl w:ilvl="1">
      <w:lvlJc w:val="left"/>
      <w:lvlText w:val="(%2)"/>
      <w:numFmt w:val="lowerLetter"/>
      <w:start w:val="9"/>
    </w:lvl>
  </w:abstractNum>
  <w:abstractNum w:abstractNumId="73">
    <w:nsid w:val="60EF0119"/>
    <w:multiLevelType w:val="hybridMultilevel"/>
    <w:lvl w:ilvl="0">
      <w:lvlJc w:val="left"/>
      <w:lvlText w:val="(%1)"/>
      <w:numFmt w:val="lowerRoman"/>
      <w:start w:val="2"/>
    </w:lvl>
  </w:abstractNum>
  <w:abstractNum w:abstractNumId="74">
    <w:nsid w:val="26F324BA"/>
    <w:multiLevelType w:val="hybridMultilevel"/>
    <w:lvl w:ilvl="0">
      <w:lvlJc w:val="left"/>
      <w:lvlText w:val="(%1)"/>
      <w:numFmt w:val="upperLetter"/>
      <w:start w:val="1"/>
    </w:lvl>
  </w:abstractNum>
  <w:abstractNum w:abstractNumId="75">
    <w:nsid w:val="7F01579B"/>
    <w:multiLevelType w:val="hybridMultilevel"/>
    <w:lvl w:ilvl="0">
      <w:lvlJc w:val="left"/>
      <w:lvlText w:val="(%1)"/>
      <w:numFmt w:val="upperLetter"/>
      <w:start w:val="6"/>
    </w:lvl>
  </w:abstractNum>
  <w:abstractNum w:abstractNumId="76">
    <w:nsid w:val="49DA307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77">
    <w:nsid w:val="7055A5F5"/>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78">
    <w:nsid w:val="5FB8370B"/>
    <w:multiLevelType w:val="hybridMultilevel"/>
    <w:lvl w:ilvl="0">
      <w:lvlJc w:val="left"/>
      <w:lvlText w:val="%1"/>
      <w:numFmt w:val="decimal"/>
      <w:start w:val="1"/>
    </w:lvl>
    <w:lvl w:ilvl="1">
      <w:lvlJc w:val="left"/>
      <w:lvlText w:val="(%2)"/>
      <w:numFmt w:val="lowerLetter"/>
      <w:start w:val="2"/>
    </w:lvl>
  </w:abstractNum>
  <w:abstractNum w:abstractNumId="79">
    <w:nsid w:val="50801EE1"/>
    <w:multiLevelType w:val="hybridMultilevel"/>
    <w:lvl w:ilvl="0">
      <w:lvlJc w:val="left"/>
      <w:lvlText w:val="%1."/>
      <w:numFmt w:val="decimal"/>
      <w:start w:val="15"/>
    </w:lvl>
    <w:lvl w:ilvl="1">
      <w:lvlJc w:val="left"/>
      <w:lvlText w:val="(%2)"/>
      <w:numFmt w:val="lowerLetter"/>
      <w:start w:val="1"/>
    </w:lvl>
  </w:abstractNum>
  <w:abstractNum w:abstractNumId="80">
    <w:nsid w:val="488AC1A"/>
    <w:multiLevelType w:val="hybridMultilevel"/>
    <w:lvl w:ilvl="0">
      <w:lvlJc w:val="left"/>
      <w:lvlText w:val="(%1)"/>
      <w:numFmt w:val="lowerRoman"/>
      <w:start w:val="1"/>
    </w:lvl>
  </w:abstractNum>
  <w:abstractNum w:abstractNumId="81">
    <w:nsid w:val="5FB8011C"/>
    <w:multiLevelType w:val="hybridMultilevel"/>
    <w:lvl w:ilvl="0">
      <w:lvlJc w:val="left"/>
      <w:lvlText w:val="(%1)"/>
      <w:numFmt w:val="lowerRoman"/>
      <w:start w:val="3"/>
    </w:lvl>
  </w:abstractNum>
  <w:abstractNum w:abstractNumId="82">
    <w:nsid w:val="6AA78F7F"/>
    <w:multiLevelType w:val="hybridMultilevel"/>
    <w:lvl w:ilvl="0">
      <w:lvlJc w:val="left"/>
      <w:lvlText w:val="(%1)"/>
      <w:numFmt w:val="lowerLetter"/>
      <w:start w:val="3"/>
    </w:lvl>
  </w:abstractNum>
  <w:abstractNum w:abstractNumId="83">
    <w:nsid w:val="7672BD23"/>
    <w:multiLevelType w:val="hybridMultilevel"/>
    <w:lvl w:ilvl="0">
      <w:lvlJc w:val="left"/>
      <w:lvlText w:val="(%1)"/>
      <w:numFmt w:val="lowerLetter"/>
      <w:start w:val="5"/>
    </w:lvl>
  </w:abstractNum>
  <w:abstractNum w:abstractNumId="84">
    <w:nsid w:val="6FC75AF8"/>
    <w:multiLevelType w:val="hybridMultilevel"/>
    <w:lvl w:ilvl="0">
      <w:lvlJc w:val="left"/>
      <w:lvlText w:val="%1"/>
      <w:numFmt w:val="decimal"/>
      <w:start w:val="1"/>
    </w:lvl>
    <w:lvl w:ilvl="1">
      <w:lvlJc w:val="left"/>
      <w:lvlText w:val="(%2)"/>
      <w:numFmt w:val="lowerLetter"/>
      <w:start w:val="8"/>
    </w:lvl>
  </w:abstractNum>
  <w:abstractNum w:abstractNumId="85">
    <w:nsid w:val="6A5F7029"/>
    <w:multiLevelType w:val="hybridMultilevel"/>
    <w:lvl w:ilvl="0">
      <w:lvlJc w:val="left"/>
      <w:lvlText w:val="%1."/>
      <w:numFmt w:val="decimal"/>
      <w:start w:val="16"/>
    </w:lvl>
    <w:lvl w:ilvl="1">
      <w:lvlJc w:val="left"/>
      <w:lvlText w:val="(%2)"/>
      <w:numFmt w:val="lowerLetter"/>
      <w:start w:val="1"/>
    </w:lvl>
  </w:abstractNum>
  <w:abstractNum w:abstractNumId="86">
    <w:nsid w:val="7D5E18F8"/>
    <w:multiLevelType w:val="hybridMultilevel"/>
    <w:lvl w:ilvl="0">
      <w:lvlJc w:val="left"/>
      <w:lvlText w:val="%1"/>
      <w:numFmt w:val="decimal"/>
      <w:start w:val="1"/>
    </w:lvl>
    <w:lvl w:ilvl="1">
      <w:lvlJc w:val="left"/>
      <w:lvlText w:val="(%2)"/>
      <w:numFmt w:val="lowerLetter"/>
      <w:start w:val="3"/>
    </w:lvl>
  </w:abstractNum>
  <w:abstractNum w:abstractNumId="87">
    <w:nsid w:val="5F3534A4"/>
    <w:multiLevelType w:val="hybridMultilevel"/>
    <w:lvl w:ilvl="0">
      <w:lvlJc w:val="left"/>
      <w:lvlText w:val="%1."/>
      <w:numFmt w:val="decimal"/>
      <w:start w:val="17"/>
    </w:lvl>
    <w:lvl w:ilvl="1">
      <w:lvlJc w:val="left"/>
      <w:lvlText w:val="%2"/>
      <w:numFmt w:val="lowerLetter"/>
      <w:start w:val="1"/>
    </w:lvl>
  </w:abstractNum>
  <w:abstractNum w:abstractNumId="88">
    <w:nsid w:val="73A1821B"/>
    <w:multiLevelType w:val="hybridMultilevel"/>
    <w:lvl w:ilvl="0">
      <w:lvlJc w:val="left"/>
      <w:lvlText w:val="%1."/>
      <w:numFmt w:val="decimal"/>
      <w:start w:val="21"/>
    </w:lvl>
  </w:abstractNum>
  <w:abstractNum w:abstractNumId="89">
    <w:nsid w:val="7DE67713"/>
    <w:multiLevelType w:val="hybridMultilevel"/>
    <w:lvl w:ilvl="0">
      <w:lvlJc w:val="left"/>
      <w:lvlText w:val="%1."/>
      <w:numFmt w:val="decimal"/>
      <w:start w:val="22"/>
    </w:lvl>
  </w:abstractNum>
  <w:abstractNum w:abstractNumId="90">
    <w:nsid w:val="555C55B5"/>
    <w:multiLevelType w:val="hybridMultilevel"/>
    <w:lvl w:ilvl="0">
      <w:lvlJc w:val="left"/>
      <w:lvlText w:val="%1."/>
      <w:numFmt w:val="decimal"/>
      <w:start w:val="25"/>
    </w:lvl>
  </w:abstractNum>
  <w:abstractNum w:abstractNumId="91">
    <w:nsid w:val="3FA62ACA"/>
    <w:multiLevelType w:val="hybridMultilevel"/>
    <w:lvl w:ilvl="0">
      <w:lvlJc w:val="left"/>
      <w:lvlText w:val="%1."/>
      <w:numFmt w:val="decimal"/>
      <w:start w:val="29"/>
    </w:lvl>
    <w:lvl w:ilvl="1">
      <w:lvlJc w:val="left"/>
      <w:lvlText w:val="(%2)"/>
      <w:numFmt w:val="lowerLetter"/>
      <w:start w:val="1"/>
    </w:lvl>
  </w:abstractNum>
  <w:abstractNum w:abstractNumId="92">
    <w:nsid w:val="14FCE74E"/>
    <w:multiLevelType w:val="hybridMultilevel"/>
    <w:lvl w:ilvl="0">
      <w:lvlJc w:val="left"/>
      <w:lvlText w:val="%1."/>
      <w:numFmt w:val="upperLetter"/>
      <w:start w:val="1"/>
    </w:lvl>
  </w:abstractNum>
  <w:abstractNum w:abstractNumId="93">
    <w:nsid w:val="6A3DD3E8"/>
    <w:multiLevelType w:val="hybridMultilevel"/>
    <w:lvl w:ilvl="0">
      <w:lvlJc w:val="left"/>
      <w:lvlText w:val="%1."/>
      <w:numFmt w:val="upperLetter"/>
      <w:start w:val="3"/>
    </w:lvl>
  </w:abstractNum>
  <w:abstractNum w:abstractNumId="94">
    <w:nsid w:val="71C91298"/>
    <w:multiLevelType w:val="hybridMultilevel"/>
    <w:lvl w:ilvl="0">
      <w:lvlJc w:val="left"/>
      <w:lvlText w:val="%1."/>
      <w:numFmt w:val="decimal"/>
      <w:start w:val="1"/>
    </w:lvl>
    <w:lvl w:ilvl="1">
      <w:lvlJc w:val="left"/>
      <w:lvlText w:val="(%2)"/>
      <w:numFmt w:val="lowerLetter"/>
      <w:start w:val="1"/>
    </w:lvl>
  </w:abstractNum>
  <w:abstractNum w:abstractNumId="95">
    <w:nsid w:val="9DAF632"/>
    <w:multiLevelType w:val="hybridMultilevel"/>
    <w:lvl w:ilvl="0">
      <w:lvlJc w:val="left"/>
      <w:lvlText w:val="(%1)"/>
      <w:numFmt w:val="decimal"/>
      <w:start w:val="1"/>
    </w:lvl>
  </w:abstractNum>
  <w:abstractNum w:abstractNumId="96">
    <w:nsid w:val="53299938"/>
    <w:multiLevelType w:val="hybridMultilevel"/>
    <w:lvl w:ilvl="0">
      <w:lvlJc w:val="left"/>
      <w:lvlText w:val="(%1)"/>
      <w:numFmt w:val="decimal"/>
      <w:start w:val="2"/>
    </w:lvl>
  </w:abstractNum>
  <w:abstractNum w:abstractNumId="97">
    <w:nsid w:val="1FBFE8E0"/>
    <w:multiLevelType w:val="hybridMultilevel"/>
    <w:lvl w:ilvl="0">
      <w:lvlJc w:val="left"/>
      <w:lvlText w:val="(%1)"/>
      <w:numFmt w:val="lowerLetter"/>
      <w:start w:val="2"/>
    </w:lvl>
  </w:abstractNum>
  <w:abstractNum w:abstractNumId="98">
    <w:nsid w:val="5092CA79"/>
    <w:multiLevelType w:val="hybridMultilevel"/>
    <w:lvl w:ilvl="0">
      <w:lvlJc w:val="left"/>
      <w:lvlText w:val="%1."/>
      <w:numFmt w:val="decimal"/>
      <w:start w:val="2"/>
    </w:lvl>
  </w:abstractNum>
  <w:abstractNum w:abstractNumId="99">
    <w:nsid w:val="1D545C4D"/>
    <w:multiLevelType w:val="hybridMultilevel"/>
    <w:lvl w:ilvl="0">
      <w:lvlJc w:val="left"/>
      <w:lvlText w:val="(%1)"/>
      <w:numFmt w:val="lowerLetter"/>
      <w:start w:val="1"/>
    </w:lvl>
  </w:abstractNum>
  <w:abstractNum w:abstractNumId="100">
    <w:nsid w:val="59ADEA3D"/>
    <w:multiLevelType w:val="hybridMultilevel"/>
    <w:lvl w:ilvl="0">
      <w:lvlJc w:val="left"/>
      <w:lvlText w:val="%1."/>
      <w:numFmt w:val="decimal"/>
      <w:start w:val="3"/>
    </w:lvl>
  </w:abstractNum>
  <w:abstractNum w:abstractNumId="101">
    <w:nsid w:val="288F1A34"/>
    <w:multiLevelType w:val="hybridMultilevel"/>
    <w:lvl w:ilvl="0">
      <w:lvlJc w:val="left"/>
      <w:lvlText w:val="%1."/>
      <w:numFmt w:val="decimal"/>
      <w:start w:val="1"/>
    </w:lvl>
    <w:lvl w:ilvl="1">
      <w:lvlJc w:val="left"/>
      <w:lvlText w:val="(%2)"/>
      <w:numFmt w:val="lowerLetter"/>
      <w:start w:val="1"/>
    </w:lvl>
  </w:abstractNum>
  <w:abstractNum w:abstractNumId="102">
    <w:nsid w:val="2A155DBC"/>
    <w:multiLevelType w:val="hybridMultilevel"/>
    <w:lvl w:ilvl="0">
      <w:lvlJc w:val="left"/>
      <w:lvlText w:val="%1."/>
      <w:numFmt w:val="decimal"/>
      <w:start w:val="1"/>
    </w:lvl>
    <w:lvl w:ilvl="1">
      <w:lvlJc w:val="left"/>
      <w:lvlText w:val="(%2)"/>
      <w:numFmt w:val="lowerLetter"/>
      <w:start w:val="1"/>
    </w:lvl>
  </w:abstractNum>
  <w:abstractNum w:abstractNumId="103">
    <w:nsid w:val="1D9F6E5F"/>
    <w:multiLevelType w:val="hybridMultilevel"/>
    <w:lvl w:ilvl="0">
      <w:lvlJc w:val="left"/>
      <w:lvlText w:val="•"/>
      <w:numFmt w:val="bullet"/>
      <w:start w:val="1"/>
    </w:lvl>
  </w:abstractNum>
  <w:abstractNum w:abstractNumId="104">
    <w:nsid w:val="97E1B4E"/>
    <w:multiLevelType w:val="hybridMultilevel"/>
    <w:lvl w:ilvl="0">
      <w:lvlJc w:val="left"/>
      <w:lvlText w:val="•"/>
      <w:numFmt w:val="bullet"/>
      <w:start w:val="1"/>
    </w:lvl>
  </w:abstractNum>
  <w:abstractNum w:abstractNumId="105">
    <w:nsid w:val="51088277"/>
    <w:multiLevelType w:val="hybridMultilevel"/>
    <w:lvl w:ilvl="0">
      <w:lvlJc w:val="left"/>
      <w:lvlText w:val="%1."/>
      <w:numFmt w:val="decimal"/>
      <w:start w:val="1"/>
    </w:lvl>
    <w:lvl w:ilvl="1">
      <w:lvlJc w:val="left"/>
      <w:lvlText w:val="(%2)"/>
      <w:numFmt w:val="lowerLetter"/>
      <w:start w:val="1"/>
    </w:lvl>
  </w:abstractNum>
  <w:abstractNum w:abstractNumId="106">
    <w:nsid w:val="1CA0C5FA"/>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07">
    <w:nsid w:val="53584BC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8">
    <w:nsid w:val="415E286C"/>
    <w:multiLevelType w:val="hybridMultilevel"/>
    <w:lvl w:ilvl="0">
      <w:lvlJc w:val="left"/>
      <w:lvlText w:val="(%1)"/>
      <w:numFmt w:val="lowerLetter"/>
      <w:start w:val="2"/>
    </w:lvl>
    <w:lvl w:ilvl="1">
      <w:lvlJc w:val="left"/>
      <w:lvlText w:val="(%2)"/>
      <w:numFmt w:val="lowerRoman"/>
      <w:start w:val="1"/>
    </w:lvl>
  </w:abstractNum>
  <w:abstractNum w:abstractNumId="109">
    <w:nsid w:val="7C58FD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10">
    <w:nsid w:val="23D86AA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11">
    <w:nsid w:val="45E6D48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2">
    <w:nsid w:val="5C10FE21"/>
    <w:multiLevelType w:val="hybridMultilevel"/>
    <w:lvl w:ilvl="0">
      <w:lvlJc w:val="left"/>
      <w:lvlText w:val="(%1)"/>
      <w:numFmt w:val="lowerLetter"/>
      <w:start w:val="3"/>
    </w:lvl>
    <w:lvl w:ilvl="1">
      <w:lvlJc w:val="left"/>
      <w:lvlText w:val="*"/>
      <w:numFmt w:val="bullet"/>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13" Type="http://schemas.openxmlformats.org/officeDocument/2006/relationships/image" Target="media/image74.png"/><Relationship Id="rId114" Type="http://schemas.openxmlformats.org/officeDocument/2006/relationships/image" Target="media/image75.png"/><Relationship Id="rId123" Type="http://schemas.openxmlformats.org/officeDocument/2006/relationships/image" Target="media/image76.png"/><Relationship Id="rId124" Type="http://schemas.openxmlformats.org/officeDocument/2006/relationships/image" Target="media/image77.png"/><Relationship Id="rId132" Type="http://schemas.openxmlformats.org/officeDocument/2006/relationships/image" Target="media/image78.png"/><Relationship Id="rId133" Type="http://schemas.openxmlformats.org/officeDocument/2006/relationships/image" Target="media/image79.png"/><Relationship Id="rId143" Type="http://schemas.openxmlformats.org/officeDocument/2006/relationships/image" Target="media/image80.png"/><Relationship Id="rId144" Type="http://schemas.openxmlformats.org/officeDocument/2006/relationships/image" Target="media/image81.png"/><Relationship Id="rId161" Type="http://schemas.openxmlformats.org/officeDocument/2006/relationships/image" Target="media/image82.png"/><Relationship Id="rId175" Type="http://schemas.openxmlformats.org/officeDocument/2006/relationships/image" Target="media/image83.png"/><Relationship Id="rId190" Type="http://schemas.openxmlformats.org/officeDocument/2006/relationships/image" Target="media/image84.png"/><Relationship Id="rId202" Type="http://schemas.openxmlformats.org/officeDocument/2006/relationships/image" Target="media/image85.png"/><Relationship Id="rId220" Type="http://schemas.openxmlformats.org/officeDocument/2006/relationships/image" Target="media/image86.png"/><Relationship Id="rId221" Type="http://schemas.openxmlformats.org/officeDocument/2006/relationships/image" Target="media/image87.png"/><Relationship Id="rId243" Type="http://schemas.openxmlformats.org/officeDocument/2006/relationships/image" Target="media/image88.png"/><Relationship Id="rId250" Type="http://schemas.openxmlformats.org/officeDocument/2006/relationships/image" Target="media/image89.png"/><Relationship Id="rId251" Type="http://schemas.openxmlformats.org/officeDocument/2006/relationships/image" Target="media/image90.png"/><Relationship Id="rId252" Type="http://schemas.openxmlformats.org/officeDocument/2006/relationships/image" Target="media/image91.png"/><Relationship Id="rId253" Type="http://schemas.openxmlformats.org/officeDocument/2006/relationships/image" Target="media/image92.png"/><Relationship Id="rId254" Type="http://schemas.openxmlformats.org/officeDocument/2006/relationships/image" Target="media/image93.png"/><Relationship Id="rId255" Type="http://schemas.openxmlformats.org/officeDocument/2006/relationships/image" Target="media/image94.png"/><Relationship Id="rId256" Type="http://schemas.openxmlformats.org/officeDocument/2006/relationships/image" Target="media/image95.png"/><Relationship Id="rId257" Type="http://schemas.openxmlformats.org/officeDocument/2006/relationships/image" Target="media/image96.png"/><Relationship Id="rId258" Type="http://schemas.openxmlformats.org/officeDocument/2006/relationships/image" Target="media/image97.png"/><Relationship Id="rId259" Type="http://schemas.openxmlformats.org/officeDocument/2006/relationships/image" Target="media/image98.png"/><Relationship Id="rId260" Type="http://schemas.openxmlformats.org/officeDocument/2006/relationships/image" Target="media/image99.png"/><Relationship Id="rId261" Type="http://schemas.openxmlformats.org/officeDocument/2006/relationships/image" Target="media/image100.png"/><Relationship Id="rId262" Type="http://schemas.openxmlformats.org/officeDocument/2006/relationships/image" Target="media/image101.png"/><Relationship Id="rId263" Type="http://schemas.openxmlformats.org/officeDocument/2006/relationships/image" Target="media/image102.png"/><Relationship Id="rId264" Type="http://schemas.openxmlformats.org/officeDocument/2006/relationships/image" Target="media/image103.png"/><Relationship Id="rId265" Type="http://schemas.openxmlformats.org/officeDocument/2006/relationships/image" Target="media/image104.png"/><Relationship Id="rId266" Type="http://schemas.openxmlformats.org/officeDocument/2006/relationships/image" Target="media/image105.png"/><Relationship Id="rId267" Type="http://schemas.openxmlformats.org/officeDocument/2006/relationships/image" Target="media/image106.png"/><Relationship Id="rId268" Type="http://schemas.openxmlformats.org/officeDocument/2006/relationships/image" Target="media/image107.png"/><Relationship Id="rId269" Type="http://schemas.openxmlformats.org/officeDocument/2006/relationships/image" Target="media/image108.png"/><Relationship Id="rId270" Type="http://schemas.openxmlformats.org/officeDocument/2006/relationships/image" Target="media/image109.png"/><Relationship Id="rId271" Type="http://schemas.openxmlformats.org/officeDocument/2006/relationships/image" Target="media/image110.png"/><Relationship Id="rId272" Type="http://schemas.openxmlformats.org/officeDocument/2006/relationships/image" Target="media/image111.png"/><Relationship Id="rId273" Type="http://schemas.openxmlformats.org/officeDocument/2006/relationships/image" Target="media/image112.png"/><Relationship Id="rId274" Type="http://schemas.openxmlformats.org/officeDocument/2006/relationships/image" Target="media/image113.png"/><Relationship Id="rId275" Type="http://schemas.openxmlformats.org/officeDocument/2006/relationships/image" Target="media/image114.png"/><Relationship Id="rId276" Type="http://schemas.openxmlformats.org/officeDocument/2006/relationships/image" Target="media/image115.png"/><Relationship Id="rId277" Type="http://schemas.openxmlformats.org/officeDocument/2006/relationships/image" Target="media/image116.png"/><Relationship Id="rId278" Type="http://schemas.openxmlformats.org/officeDocument/2006/relationships/image" Target="media/image117.png"/><Relationship Id="rId279" Type="http://schemas.openxmlformats.org/officeDocument/2006/relationships/image" Target="media/image118.png"/><Relationship Id="rId280" Type="http://schemas.openxmlformats.org/officeDocument/2006/relationships/image" Target="media/image119.png"/><Relationship Id="rId281" Type="http://schemas.openxmlformats.org/officeDocument/2006/relationships/image" Target="media/image120.png"/><Relationship Id="rId282" Type="http://schemas.openxmlformats.org/officeDocument/2006/relationships/image" Target="media/image121.png"/><Relationship Id="rId283" Type="http://schemas.openxmlformats.org/officeDocument/2006/relationships/image" Target="media/image122.png"/><Relationship Id="rId284" Type="http://schemas.openxmlformats.org/officeDocument/2006/relationships/image" Target="media/image123.png"/><Relationship Id="rId285" Type="http://schemas.openxmlformats.org/officeDocument/2006/relationships/image" Target="media/image124.png"/><Relationship Id="rId286" Type="http://schemas.openxmlformats.org/officeDocument/2006/relationships/image" Target="media/image125.png"/><Relationship Id="rId287" Type="http://schemas.openxmlformats.org/officeDocument/2006/relationships/image" Target="media/image126.png"/><Relationship Id="rId288" Type="http://schemas.openxmlformats.org/officeDocument/2006/relationships/image" Target="media/image127.png"/><Relationship Id="rId289" Type="http://schemas.openxmlformats.org/officeDocument/2006/relationships/image" Target="media/image128.png"/><Relationship Id="rId290" Type="http://schemas.openxmlformats.org/officeDocument/2006/relationships/image" Target="media/image129.png"/><Relationship Id="rId291" Type="http://schemas.openxmlformats.org/officeDocument/2006/relationships/image" Target="media/image130.png"/><Relationship Id="rId292" Type="http://schemas.openxmlformats.org/officeDocument/2006/relationships/image" Target="media/image131.png"/><Relationship Id="rId293" Type="http://schemas.openxmlformats.org/officeDocument/2006/relationships/image" Target="media/image132.png"/><Relationship Id="rId294" Type="http://schemas.openxmlformats.org/officeDocument/2006/relationships/image" Target="media/image133.png"/><Relationship Id="rId295" Type="http://schemas.openxmlformats.org/officeDocument/2006/relationships/image" Target="media/image134.png"/><Relationship Id="rId296" Type="http://schemas.openxmlformats.org/officeDocument/2006/relationships/image" Target="media/image135.png"/><Relationship Id="rId297" Type="http://schemas.openxmlformats.org/officeDocument/2006/relationships/image" Target="media/image136.png"/><Relationship Id="rId298" Type="http://schemas.openxmlformats.org/officeDocument/2006/relationships/image" Target="media/image137.png"/><Relationship Id="rId299" Type="http://schemas.openxmlformats.org/officeDocument/2006/relationships/image" Target="media/image138.png"/><Relationship Id="rId300" Type="http://schemas.openxmlformats.org/officeDocument/2006/relationships/image" Target="media/image139.png"/><Relationship Id="rId301" Type="http://schemas.openxmlformats.org/officeDocument/2006/relationships/image" Target="media/image140.png"/><Relationship Id="rId302" Type="http://schemas.openxmlformats.org/officeDocument/2006/relationships/image" Target="media/image141.png"/><Relationship Id="rId77" Type="http://schemas.openxmlformats.org/officeDocument/2006/relationships/hyperlink" Target="http://www.sec.gov/Archives/edgar/data/1091667/000119312515206906/d930946dex21.htm" TargetMode="External"/><Relationship Id="rId78" Type="http://schemas.openxmlformats.org/officeDocument/2006/relationships/hyperlink" Target="http://www.sec.gov/Archives/edgar/data/1091667/000109166715000059/chtr0331158kexh21.htm" TargetMode="External"/><Relationship Id="rId79" Type="http://schemas.openxmlformats.org/officeDocument/2006/relationships/hyperlink" Target="http://www.sec.gov/Archives/edgar/data/1091667/000119312516596195/d148819dex31.htm" TargetMode="External"/><Relationship Id="rId80" Type="http://schemas.openxmlformats.org/officeDocument/2006/relationships/hyperlink" Target="http://www.sec.gov/Archives/edgar/data/1091667/000109166723000143/chtr9302023exh-31.htm" TargetMode="External"/><Relationship Id="rId81" Type="http://schemas.openxmlformats.org/officeDocument/2006/relationships/hyperlink" Target="http://www.sec.gov/Archives/edgar/data/1091667/000109166715000059/chtr0331158kexh41.htm" TargetMode="External"/><Relationship Id="rId82" Type="http://schemas.openxmlformats.org/officeDocument/2006/relationships/hyperlink" Target="http://www.sec.gov/Archives/edgar/data/1350366/000119312515235720/d933267ds4.htm#toc933267_97" TargetMode="External"/><Relationship Id="rId83" Type="http://schemas.openxmlformats.org/officeDocument/2006/relationships/hyperlink" Target="http://www.sec.gov/Archives/edgar/data/1091667/000109166714000221/exh41chtr1105148k.htm" TargetMode="External"/><Relationship Id="rId84" Type="http://schemas.openxmlformats.org/officeDocument/2006/relationships/hyperlink" Target="http://www.sec.gov/Archives/edgar/data/1091667/000109166715000177/exh41chtr723158k.htm" TargetMode="External"/><Relationship Id="rId85" Type="http://schemas.openxmlformats.org/officeDocument/2006/relationships/hyperlink" Target="http://www.sec.gov/Archives/edgar/data/1091667/000109166715000177/exh42chtr723158k.htm" TargetMode="External"/><Relationship Id="rId86" Type="http://schemas.openxmlformats.org/officeDocument/2006/relationships/hyperlink" Target="http://www.sec.gov/Archives/edgar/data/1091667/000119312515387342/d215006dex41.htm" TargetMode="External"/><Relationship Id="rId87" Type="http://schemas.openxmlformats.org/officeDocument/2006/relationships/hyperlink" Target="http://www.sec.gov/Archives/edgar/data/1091667/000119312516557101/d184565dex41.htm" TargetMode="External"/><Relationship Id="rId90" Type="http://schemas.openxmlformats.org/officeDocument/2006/relationships/hyperlink" Target="http://www.sec.gov/Archives/edgar/data/1091667/000119312516600775/d198771dex41.htm" TargetMode="External"/><Relationship Id="rId91" Type="http://schemas.openxmlformats.org/officeDocument/2006/relationships/hyperlink" Target="http://www.sec.gov/Archives/edgar/data/1091667/000119312516600775/d198771dex42.htm" TargetMode="External"/><Relationship Id="rId92" Type="http://schemas.openxmlformats.org/officeDocument/2006/relationships/hyperlink" Target="http://www.sec.gov/Archives/edgar/data/1091667/000119312516600775/d198771dex43.htm" TargetMode="External"/><Relationship Id="rId93" Type="http://schemas.openxmlformats.org/officeDocument/2006/relationships/hyperlink" Target="http://www.sec.gov/Archives/edgar/data/1291157/000119312517305942/d412173dex45.htm" TargetMode="External"/><Relationship Id="rId94" Type="http://schemas.openxmlformats.org/officeDocument/2006/relationships/hyperlink" Target="http://www.sec.gov/Archives/edgar/data/1091667/000119312517031457/d316804dex41.htm" TargetMode="External"/><Relationship Id="rId95" Type="http://schemas.openxmlformats.org/officeDocument/2006/relationships/hyperlink" Target="http://www.sec.gov/Archives/edgar/data/1091667/000119312517137055/d383847dex43.htm" TargetMode="External"/><Relationship Id="rId96" Type="http://schemas.openxmlformats.org/officeDocument/2006/relationships/hyperlink" Target="http://www.sec.gov/Archives/edgar/data/1091667/000119312517226207/d421424dex43.htm" TargetMode="External"/><Relationship Id="rId97" Type="http://schemas.openxmlformats.org/officeDocument/2006/relationships/hyperlink" Target="http://www.sec.gov/Archives/edgar/data/1091667/000119312517256236/d374452dex41.htm" TargetMode="External"/><Relationship Id="rId98" Type="http://schemas.openxmlformats.org/officeDocument/2006/relationships/hyperlink" Target="http://www.sec.gov/Archives/edgar/data/1091667/000119312517289679/d458554dex43.htm" TargetMode="External"/><Relationship Id="rId99" Type="http://schemas.openxmlformats.org/officeDocument/2006/relationships/hyperlink" Target="http://www.sec.gov/Archives/edgar/data/833611/000119312517376789/d502212dex45.htm" TargetMode="External"/><Relationship Id="rId100" Type="http://schemas.openxmlformats.org/officeDocument/2006/relationships/hyperlink" Target="http://www.sec.gov/Archives/edgar/data/1091667/000119312518125093/d562235dex42.htm" TargetMode="External"/><Relationship Id="rId103" Type="http://schemas.openxmlformats.org/officeDocument/2006/relationships/hyperlink" Target="http://www.sec.gov/Archives/edgar/data/1091667/000119312518214665/d555023dex42.htm" TargetMode="External"/><Relationship Id="rId104" Type="http://schemas.openxmlformats.org/officeDocument/2006/relationships/hyperlink" Target="http://www.sec.gov/Archives/edgar/data/893657/000110465923112581/tm2329169d2_ex4-7.htm" TargetMode="External"/><Relationship Id="rId105" Type="http://schemas.openxmlformats.org/officeDocument/2006/relationships/hyperlink" Target="http://www.sec.gov/Archives/edgar/data/1091667/000119312519015581/d693743dex44.htm" TargetMode="External"/><Relationship Id="rId106" Type="http://schemas.openxmlformats.org/officeDocument/2006/relationships/hyperlink" Target="http://www.sec.gov/Archives/edgar/data/1091667/000119312519161294/d753026dex41.htm" TargetMode="External"/><Relationship Id="rId107" Type="http://schemas.openxmlformats.org/officeDocument/2006/relationships/hyperlink" Target="http://www.sec.gov/Archives/edgar/data/1091667/000119312519161294/d753026dex42.htm" TargetMode="External"/><Relationship Id="rId108" Type="http://schemas.openxmlformats.org/officeDocument/2006/relationships/hyperlink" Target="http://www.sec.gov/Archives/edgar/data/893657/000110465923112581/tm2329169d2_ex4-8.htm" TargetMode="External"/><Relationship Id="rId109" Type="http://schemas.openxmlformats.org/officeDocument/2006/relationships/hyperlink" Target="http://www.sec.gov/Archives/edgar/data/1091667/000119312519191919/d96706dex45.htm" TargetMode="External"/><Relationship Id="rId110" Type="http://schemas.openxmlformats.org/officeDocument/2006/relationships/hyperlink" Target="http://www.sec.gov/Archives/edgar/data/1091667/000141057819001548/tv530689_ex4-2.htm" TargetMode="External"/><Relationship Id="rId111" Type="http://schemas.openxmlformats.org/officeDocument/2006/relationships/hyperlink" Target="http://www.sec.gov/Archives/edgar/data/1091667/000110465919057853/tm1919719d8_ex4-5.htm" TargetMode="External"/><Relationship Id="rId112" Type="http://schemas.openxmlformats.org/officeDocument/2006/relationships/hyperlink" Target="http://www.sec.gov/Archives/edgar/data/1091667/000110465920023531/tm206421d3_ex4-2.htm" TargetMode="External"/><Relationship Id="rId115" Type="http://schemas.openxmlformats.org/officeDocument/2006/relationships/hyperlink" Target="http://www.sec.gov/Archives/edgar/data/1091667/000110465920037363/tm209733d3_ex4-4.htm" TargetMode="External"/><Relationship Id="rId116" Type="http://schemas.openxmlformats.org/officeDocument/2006/relationships/hyperlink" Target="http://www.sec.gov/Archives/edgar/data/1091667/000110465920048185/tm2013374d6_ex4-2.htm" TargetMode="External"/><Relationship Id="rId117" Type="http://schemas.openxmlformats.org/officeDocument/2006/relationships/hyperlink" Target="http://www.sec.gov/Archives/edgar/data/1091667/000110465920083132/tm2023618d7_ex4-2.htm" TargetMode="External"/><Relationship Id="rId118" Type="http://schemas.openxmlformats.org/officeDocument/2006/relationships/hyperlink" Target="http://www.sec.gov/Archives/edgar/data/893657/000110465923112581/tm2329169d2_ex4-9.htm" TargetMode="External"/><Relationship Id="rId119" Type="http://schemas.openxmlformats.org/officeDocument/2006/relationships/hyperlink" Target="http://www.sec.gov/Archives/edgar/data/1091667/000119312520310598/d52558dex43.htm" TargetMode="External"/><Relationship Id="rId120" Type="http://schemas.openxmlformats.org/officeDocument/2006/relationships/hyperlink" Target="http://www.sec.gov/Archives/edgar/data/1091667/000110465921032135/tm216933d5_ex4-3.htm" TargetMode="External"/><Relationship Id="rId121" Type="http://schemas.openxmlformats.org/officeDocument/2006/relationships/hyperlink" Target="http://www.sec.gov/Archives/edgar/data/1091667/000110465921055678/tm2110078d10_ex4-2.htm" TargetMode="External"/><Relationship Id="rId122" Type="http://schemas.openxmlformats.org/officeDocument/2006/relationships/hyperlink" Target="http://www.sec.gov/Archives/edgar/data/1091667/000110465921075783/tm2116167d8_ex4-6.htm" TargetMode="External"/><Relationship Id="rId125" Type="http://schemas.openxmlformats.org/officeDocument/2006/relationships/hyperlink" Target="http://www.sec.gov/Archives/edgar/data/1091667/000110465921107340/tm2125367d1_ex4-2.htm" TargetMode="External"/><Relationship Id="rId126" Type="http://schemas.openxmlformats.org/officeDocument/2006/relationships/hyperlink" Target="http://www.sec.gov/Archives/edgar/data/1091667/000110465921125311/tm2129729d1_ex4-2.htm" TargetMode="External"/><Relationship Id="rId127" Type="http://schemas.openxmlformats.org/officeDocument/2006/relationships/hyperlink" Target="http://www.sec.gov/Archives/edgar/data/1091667/000110465922007405/tm222869d3_ex4-2.htm" TargetMode="External"/><Relationship Id="rId128" Type="http://schemas.openxmlformats.org/officeDocument/2006/relationships/hyperlink" Target="http://www.sec.gov/Archives/edgar/data/1091667/000110465922033983/tm229257d1_ex4-2.htm" TargetMode="External"/><Relationship Id="rId129" Type="http://schemas.openxmlformats.org/officeDocument/2006/relationships/hyperlink" Target="http://www.sec.gov/Archives/edgar/data/1091667/000110465922091296/tm2222384d3_ex4-2.htm" TargetMode="External"/><Relationship Id="rId130" Type="http://schemas.openxmlformats.org/officeDocument/2006/relationships/hyperlink" Target="http://www.sec.gov/Archives/edgar/data/1091667/000110465923022811/tm236553d1_ex4-2.htm" TargetMode="External"/><Relationship Id="rId131" Type="http://schemas.openxmlformats.org/officeDocument/2006/relationships/hyperlink" Target="http://www.sec.gov/Archives/edgar/data/1091667/000110465923116521/tm2330404d1_ex4-2.htm" TargetMode="External"/><Relationship Id="rId134" Type="http://schemas.openxmlformats.org/officeDocument/2006/relationships/hyperlink" Target="http://www.sec.gov/Archives/edgar/data/1021387/0000950117-98-000617.txt" TargetMode="External"/><Relationship Id="rId135" Type="http://schemas.openxmlformats.org/officeDocument/2006/relationships/hyperlink" Target="http://www.sec.gov/Archives/edgar/data/1105705/000095014404002438/g87394exv4w10.txt" TargetMode="External"/><Relationship Id="rId136" Type="http://schemas.openxmlformats.org/officeDocument/2006/relationships/hyperlink" Target="http://www.sec.gov/Archives/edgar/data/1105705/000095014404010346/g91243exv4w1.txt" TargetMode="External"/><Relationship Id="rId137" Type="http://schemas.openxmlformats.org/officeDocument/2006/relationships/hyperlink" Target="http://www.sec.gov/Archives/edgar/data/1105705/000110570506000066/f06-10_188kex1.txt" TargetMode="External"/><Relationship Id="rId138" Type="http://schemas.openxmlformats.org/officeDocument/2006/relationships/hyperlink" Target="http://www.sec.gov/Archives/edgar/data/1105705/000110570506000075/ex991suppindenture.txt" TargetMode="External"/><Relationship Id="rId139" Type="http://schemas.openxmlformats.org/officeDocument/2006/relationships/hyperlink" Target="http://www.sec.gov/Archives/edgar/data/1377013/000119312512411525/d418440dex42.htm" TargetMode="External"/><Relationship Id="rId140" Type="http://schemas.openxmlformats.org/officeDocument/2006/relationships/hyperlink" Target="http://www.sec.gov/Archives/edgar/data/1091667/000119312516600775/d198771dex44.htm" TargetMode="External"/><Relationship Id="rId141" Type="http://schemas.openxmlformats.org/officeDocument/2006/relationships/hyperlink" Target="http://www.sec.gov/Archives/edgar/data/1377013/000095014407003230/g06543exv4w1.htm" TargetMode="External"/><Relationship Id="rId142" Type="http://schemas.openxmlformats.org/officeDocument/2006/relationships/hyperlink" Target="http://www.sec.gov/Archives/edgar/data/1377013/000095014407003230/g06543exv4w2.htm" TargetMode="External"/><Relationship Id="rId145" Type="http://schemas.openxmlformats.org/officeDocument/2006/relationships/hyperlink" Target="http://www.sec.gov/Archives/edgar/data/1377013/000119312512411525/d418440dex41.htm" TargetMode="External"/><Relationship Id="rId146" Type="http://schemas.openxmlformats.org/officeDocument/2006/relationships/hyperlink" Target="http://www.sec.gov/Archives/edgar/data/1091667/000119312516600775/d198771dex45.htm" TargetMode="External"/><Relationship Id="rId147" Type="http://schemas.openxmlformats.org/officeDocument/2006/relationships/hyperlink" Target="http://www.sec.gov/Archives/edgar/data/1091667/000119312516600775/d198771dex46.htm" TargetMode="External"/><Relationship Id="rId148" Type="http://schemas.openxmlformats.org/officeDocument/2006/relationships/hyperlink" Target="http://www.sec.gov/Archives/edgar/data/1377013/000095014408004932/g13938exv4w3.htm" TargetMode="External"/><Relationship Id="rId149" Type="http://schemas.openxmlformats.org/officeDocument/2006/relationships/hyperlink" Target="http://www.sec.gov/Archives/edgar/data/1377013/000095012309018653/g19621exv4w1.htm" TargetMode="External"/><Relationship Id="rId150" Type="http://schemas.openxmlformats.org/officeDocument/2006/relationships/hyperlink" Target="http://www.sec.gov/Archives/edgar/data/1377013/000095012310105640/g25238exv4w2.htm" TargetMode="External"/><Relationship Id="rId151" Type="http://schemas.openxmlformats.org/officeDocument/2006/relationships/hyperlink" Target="http://www.sec.gov/Archives/edgar/data/1377013/000095012311054476/g27367exv4w1.htm" TargetMode="External"/><Relationship Id="rId152" Type="http://schemas.openxmlformats.org/officeDocument/2006/relationships/hyperlink" Target="http://www.sec.gov/Archives/edgar/data/1377013/000119312511245786/d228868dex42.htm" TargetMode="External"/><Relationship Id="rId153" Type="http://schemas.openxmlformats.org/officeDocument/2006/relationships/hyperlink" Target="http://www.sec.gov/Archives/edgar/data/1377013/000119312512349959/d393980dex41.htm" TargetMode="External"/><Relationship Id="rId154" Type="http://schemas.openxmlformats.org/officeDocument/2006/relationships/hyperlink" Target="http://www.sec.gov/Archives/edgar/data/1377013/000119312512285562/d372984dex41.htm" TargetMode="External"/><Relationship Id="rId155" Type="http://schemas.openxmlformats.org/officeDocument/2006/relationships/hyperlink" Target="http://www.sec.gov/Archives/edgar/data/1091667/000109166723000024/chtr12312022exh-4104.htm" TargetMode="External"/><Relationship Id="rId156" Type="http://schemas.openxmlformats.org/officeDocument/2006/relationships/hyperlink" Target="http://www.sec.gov/Archives/edgar/data/1091667/000109166715000177/exh101chtr723158k.htm" TargetMode="External"/><Relationship Id="rId157" Type="http://schemas.openxmlformats.org/officeDocument/2006/relationships/hyperlink" Target="http://www.sec.gov/Archives/edgar/data/1091667/000119312516557101/d184565dex101.htm" TargetMode="External"/><Relationship Id="rId158" Type="http://schemas.openxmlformats.org/officeDocument/2006/relationships/hyperlink" Target="http://www.sec.gov/Archives/edgar/data/1091667/000119312517031457/d316804dex101.htm" TargetMode="External"/><Relationship Id="rId159" Type="http://schemas.openxmlformats.org/officeDocument/2006/relationships/hyperlink" Target="http://www.sec.gov/Archives/edgar/data/1091667/000119312517104560/d343818dex101.htm" TargetMode="External"/><Relationship Id="rId160" Type="http://schemas.openxmlformats.org/officeDocument/2006/relationships/hyperlink" Target="http://www.sec.gov/Archives/edgar/data/1091667/000119312517137055/d383847dex101.htm" TargetMode="External"/><Relationship Id="rId162" Type="http://schemas.openxmlformats.org/officeDocument/2006/relationships/hyperlink" Target="http://www.sec.gov/Archives/edgar/data/1091667/000119312517137055/d383847dex102.htm" TargetMode="External"/><Relationship Id="rId163" Type="http://schemas.openxmlformats.org/officeDocument/2006/relationships/hyperlink" Target="http://www.sec.gov/Archives/edgar/data/1091667/000119312517226207/d421424dex101.htm" TargetMode="External"/><Relationship Id="rId164" Type="http://schemas.openxmlformats.org/officeDocument/2006/relationships/hyperlink" Target="http://www.sec.gov/Archives/edgar/data/1091667/000119312517226207/d421424dex102.htm" TargetMode="External"/><Relationship Id="rId165" Type="http://schemas.openxmlformats.org/officeDocument/2006/relationships/hyperlink" Target="http://www.sec.gov/Archives/edgar/data/1091667/000119312517256236/d374452dex101.htm" TargetMode="External"/><Relationship Id="rId166" Type="http://schemas.openxmlformats.org/officeDocument/2006/relationships/hyperlink" Target="http://www.sec.gov/Archives/edgar/data/1091667/000119312517289679/d458554dex101.htm" TargetMode="External"/><Relationship Id="rId167" Type="http://schemas.openxmlformats.org/officeDocument/2006/relationships/hyperlink" Target="http://www.sec.gov/Archives/edgar/data/1091667/000119312517289679/d458554dex102.htm" TargetMode="External"/><Relationship Id="rId168" Type="http://schemas.openxmlformats.org/officeDocument/2006/relationships/hyperlink" Target="http://www.sec.gov/Archives/edgar/data/1091667/000119312517315425/d473513dex101.htm" TargetMode="External"/><Relationship Id="rId169" Type="http://schemas.openxmlformats.org/officeDocument/2006/relationships/hyperlink" Target="http://www.sec.gov/Archives/edgar/data/1091667/000119312519161294/d753026dex101.htm" TargetMode="External"/><Relationship Id="rId170" Type="http://schemas.openxmlformats.org/officeDocument/2006/relationships/hyperlink" Target="http://www.sec.gov/Archives/edgar/data/1091667/000119312519191919/d96706dex101.htm" TargetMode="External"/><Relationship Id="rId171" Type="http://schemas.openxmlformats.org/officeDocument/2006/relationships/hyperlink" Target="http://www.sec.gov/Archives/edgar/data/1091667/000141057819001548/tv530689_ex10-1.htm" TargetMode="External"/><Relationship Id="rId172" Type="http://schemas.openxmlformats.org/officeDocument/2006/relationships/hyperlink" Target="http://www.sec.gov/Archives/edgar/data/1091667/000110465919057853/tm1919719d8_ex10-1.htm" TargetMode="External"/><Relationship Id="rId173" Type="http://schemas.openxmlformats.org/officeDocument/2006/relationships/hyperlink" Target="http://www.sec.gov/Archives/edgar/data/1091667/000110465919073049/tm1923962d8_ex10-1.htm" TargetMode="External"/><Relationship Id="rId174" Type="http://schemas.openxmlformats.org/officeDocument/2006/relationships/hyperlink" Target="http://www.sec.gov/Archives/edgar/data/1091667/000110465920023531/tm206421d3_ex10-1.htm" TargetMode="External"/><Relationship Id="rId176" Type="http://schemas.openxmlformats.org/officeDocument/2006/relationships/hyperlink" Target="http://www.sec.gov/Archives/edgar/data/1091667/000110465920037363/tm209733d3_ex10-1.htm" TargetMode="External"/><Relationship Id="rId177" Type="http://schemas.openxmlformats.org/officeDocument/2006/relationships/hyperlink" Target="http://www.sec.gov/Archives/edgar/data/1091667/000110465920037363/tm209733d3_ex10-2.htm" TargetMode="External"/><Relationship Id="rId178" Type="http://schemas.openxmlformats.org/officeDocument/2006/relationships/hyperlink" Target="http://www.sec.gov/Archives/edgar/data/1091667/000110465920083132/tm2023618d7_ex10-1.htm" TargetMode="External"/><Relationship Id="rId179" Type="http://schemas.openxmlformats.org/officeDocument/2006/relationships/hyperlink" Target="http://www.sec.gov/Archives/edgar/data/1091667/000110465920087372/tm2025145d2_ex10-1.htm" TargetMode="External"/><Relationship Id="rId180" Type="http://schemas.openxmlformats.org/officeDocument/2006/relationships/hyperlink" Target="http://www.sec.gov/Archives/edgar/data/1091667/000110465920115651/tm2030372d3_ex10-1.htm" TargetMode="External"/><Relationship Id="rId181" Type="http://schemas.openxmlformats.org/officeDocument/2006/relationships/hyperlink" Target="http://www.sec.gov/Archives/edgar/data/1091667/000110465921055678/tm2110078d10_ex10-1.htm" TargetMode="External"/><Relationship Id="rId182" Type="http://schemas.openxmlformats.org/officeDocument/2006/relationships/hyperlink" Target="http://www.sec.gov/Archives/edgar/data/1091667/000110465921075783/tm2116167d8_ex10-1.htm" TargetMode="External"/><Relationship Id="rId183" Type="http://schemas.openxmlformats.org/officeDocument/2006/relationships/hyperlink" Target="http://www.sec.gov/Archives/edgar/data/1091667/000110465921107340/tm2125367d1_ex10-1.htm" TargetMode="External"/><Relationship Id="rId184" Type="http://schemas.openxmlformats.org/officeDocument/2006/relationships/hyperlink" Target="http://www.sec.gov/Archives/edgar/data/1091667/000110465922007405/tm222869d3_ex10-1.htm" TargetMode="External"/><Relationship Id="rId185" Type="http://schemas.openxmlformats.org/officeDocument/2006/relationships/hyperlink" Target="http://www.sec.gov/Archives/edgar/data/1091667/000110465922091296/tm2222384d3_ex10-1.htm" TargetMode="External"/><Relationship Id="rId186" Type="http://schemas.openxmlformats.org/officeDocument/2006/relationships/hyperlink" Target="http://www.sec.gov/Archives/edgar/data/1091667/000110465923022811/tm236553d1_ex10-1.htm" TargetMode="External"/><Relationship Id="rId187" Type="http://schemas.openxmlformats.org/officeDocument/2006/relationships/hyperlink" Target="http://www.sec.gov/Archives/edgar/data/1091667/000119312516600775/d198771dex105.htm" TargetMode="External"/><Relationship Id="rId188" Type="http://schemas.openxmlformats.org/officeDocument/2006/relationships/hyperlink" Target="http://www.sec.gov/Archives/edgar/data/1091667/000119312516808236/d320993dex101.htm" TargetMode="External"/><Relationship Id="rId189" Type="http://schemas.openxmlformats.org/officeDocument/2006/relationships/hyperlink" Target="http://www.sec.gov/Archives/edgar/data/1091667/000119312517381529/d490255dex101.htm" TargetMode="External"/><Relationship Id="rId191" Type="http://schemas.openxmlformats.org/officeDocument/2006/relationships/hyperlink" Target="http://www.sec.gov/Archives/edgar/data/1091667/000119312519022615/d679482dex101.htm" TargetMode="External"/><Relationship Id="rId192" Type="http://schemas.openxmlformats.org/officeDocument/2006/relationships/hyperlink" Target="http://www.sec.gov/Archives/edgar/data/1091667/000109166719000085/chtr3312019exh-104.htm" TargetMode="External"/><Relationship Id="rId193" Type="http://schemas.openxmlformats.org/officeDocument/2006/relationships/hyperlink" Target="http://www.sec.gov/Archives/edgar/data/1091667/000110465919057853/tm1919719d8_ex10-2.htm" TargetMode="External"/><Relationship Id="rId194" Type="http://schemas.openxmlformats.org/officeDocument/2006/relationships/hyperlink" Target="http://www.sec.gov/Archives/edgar/data/1091667/000110465922067640/tm2217554d1_ex10-1.htm" TargetMode="External"/><Relationship Id="rId195" Type="http://schemas.openxmlformats.org/officeDocument/2006/relationships/hyperlink" Target="http://www.sec.gov/Archives/edgar/data/1091667/000110465923022811/tm236553d1_ex10-2.htm" TargetMode="External"/><Relationship Id="rId196" Type="http://schemas.openxmlformats.org/officeDocument/2006/relationships/hyperlink" Target="http://www.sec.gov/Archives/edgar/data/1091667/000110465923038343/tm2310675d1_ex10-1.htm" TargetMode="External"/><Relationship Id="rId197" Type="http://schemas.openxmlformats.org/officeDocument/2006/relationships/hyperlink" Target="http://www.sec.gov/Archives/edgar/data/1091667/000110465923125714/tm2332479d1_ex10-1.htm" TargetMode="External"/><Relationship Id="rId198" Type="http://schemas.openxmlformats.org/officeDocument/2006/relationships/hyperlink" Target="http://www.sec.gov/Archives/edgar/data/1091667/000119312516600775/d198771dex101.htm" TargetMode="External"/><Relationship Id="rId199" Type="http://schemas.openxmlformats.org/officeDocument/2006/relationships/hyperlink" Target="http://www.sec.gov/Archives/edgar/data/1091667/000119312516600775/d198771dex102.htm" TargetMode="External"/><Relationship Id="rId200" Type="http://schemas.openxmlformats.org/officeDocument/2006/relationships/hyperlink" Target="http://www.sec.gov/Archives/edgar/data/1091667/000119312516600775/d198771dex103.htm" TargetMode="External"/><Relationship Id="rId201" Type="http://schemas.openxmlformats.org/officeDocument/2006/relationships/hyperlink" Target="http://www.sec.gov/Archives/edgar/data/1091667/000119312516600775/d198771dex106.htm" TargetMode="External"/><Relationship Id="rId203" Type="http://schemas.openxmlformats.org/officeDocument/2006/relationships/hyperlink" Target="http://www.sec.gov/Archives/edgar/data/1091667/000119312516600775/d198771dex104.htm" TargetMode="External"/><Relationship Id="rId204" Type="http://schemas.openxmlformats.org/officeDocument/2006/relationships/hyperlink" Target="http://www.sec.gov/Archives/edgar/data/1091667/000119312516600775/d198771dex107.htm" TargetMode="External"/><Relationship Id="rId205" Type="http://schemas.openxmlformats.org/officeDocument/2006/relationships/hyperlink" Target="http://www.sec.gov/Archives/edgar/data/1091667/000119312516596195/d148819dex101.htm" TargetMode="External"/><Relationship Id="rId206" Type="http://schemas.openxmlformats.org/officeDocument/2006/relationships/hyperlink" Target="http://www.sec.gov/Archives/edgar/data/1091667/000119312516596195/d148819dex102.htm" TargetMode="External"/><Relationship Id="rId207" Type="http://schemas.openxmlformats.org/officeDocument/2006/relationships/hyperlink" Target="http://www.sec.gov/Archives/edgar/data/1091667/000119312516596195/d148819dex103.htm" TargetMode="External"/><Relationship Id="rId208" Type="http://schemas.openxmlformats.org/officeDocument/2006/relationships/hyperlink" Target="http://www.sec.gov/Archives/edgar/data/1091667/000119312516596195/d148819dex104.htm" TargetMode="External"/><Relationship Id="rId209" Type="http://schemas.openxmlformats.org/officeDocument/2006/relationships/hyperlink" Target="http://www.sec.gov/Archives/edgar/data/1091667/000109166717000074/exh101050817chtr8-kx01.htm" TargetMode="External"/><Relationship Id="rId210" Type="http://schemas.openxmlformats.org/officeDocument/2006/relationships/hyperlink" Target="http://www.sec.gov/Archives/edgar/data/1091667/000109166712000085/chtr3312012ex-101.htm" TargetMode="External"/><Relationship Id="rId211" Type="http://schemas.openxmlformats.org/officeDocument/2006/relationships/hyperlink" Target="http://www.sec.gov/Archives/edgar/data/1091667/000109166713000140/chtr6302013exh-103.htm" TargetMode="External"/><Relationship Id="rId212" Type="http://schemas.openxmlformats.org/officeDocument/2006/relationships/hyperlink" Target="http://www.sec.gov/Archives/edgar/data/1091667/000119312516507905/d159880ddef14a.htm" TargetMode="External"/><Relationship Id="rId213" Type="http://schemas.openxmlformats.org/officeDocument/2006/relationships/hyperlink" Target="http://www.sec.gov/Archives/edgar/data/1091667/000119312516596195/d148819dex106.htm" TargetMode="External"/><Relationship Id="rId214" Type="http://schemas.openxmlformats.org/officeDocument/2006/relationships/hyperlink" Target="http://www.sec.gov/Archives/edgar/data/1091667/000109166716000565/a102816chtr8-kexh101.htm" TargetMode="External"/><Relationship Id="rId215" Type="http://schemas.openxmlformats.org/officeDocument/2006/relationships/hyperlink" Target="http://www.sec.gov/Archives/edgar/data/1091667/000109166711000116/exhibit10_1.htm" TargetMode="External"/><Relationship Id="rId216" Type="http://schemas.openxmlformats.org/officeDocument/2006/relationships/hyperlink" Target="http://www.sec.gov/Archives/edgar/data/1091667/000109166711000103/exhibit10_3.htm" TargetMode="External"/><Relationship Id="rId217" Type="http://schemas.openxmlformats.org/officeDocument/2006/relationships/hyperlink" Target="http://www.sec.gov/Archives/edgar/data/1091667/000109166711000103/exhibit10_2.htm" TargetMode="External"/><Relationship Id="rId218" Type="http://schemas.openxmlformats.org/officeDocument/2006/relationships/hyperlink" Target="http://www.sec.gov/Archives/edgar/data/1091667/000109166714000060/exhibit103formofnoticeoflt.htm" TargetMode="External"/><Relationship Id="rId219" Type="http://schemas.openxmlformats.org/officeDocument/2006/relationships/hyperlink" Target="http://www.sec.gov/Archives/edgar/data/1091667/000109166714000060/exhibit104formofnoticeoflt.htm" TargetMode="External"/><Relationship Id="rId222" Type="http://schemas.openxmlformats.org/officeDocument/2006/relationships/hyperlink" Target="http://www.sec.gov/Archives/edgar/data/1091667/000109166714000060/exhibit105formofnoticeoflt.htm" TargetMode="External"/><Relationship Id="rId223" Type="http://schemas.openxmlformats.org/officeDocument/2006/relationships/hyperlink" Target="http://www.sec.gov/Archives/edgar/data/1091667/000109166714000060/exhibit106formofnoticeoflt.htm" TargetMode="External"/><Relationship Id="rId224" Type="http://schemas.openxmlformats.org/officeDocument/2006/relationships/hyperlink" Target="http://www.sec.gov/Archives/edgar/data/1091667/000109166714000060/exhibit101formofstockoptio.htm" TargetMode="External"/><Relationship Id="rId225" Type="http://schemas.openxmlformats.org/officeDocument/2006/relationships/hyperlink" Target="http://www.sec.gov/Archives/edgar/data/1091667/000109166714000060/exhibit102formofrestricted.htm" TargetMode="External"/><Relationship Id="rId226" Type="http://schemas.openxmlformats.org/officeDocument/2006/relationships/hyperlink" Target="http://www.sec.gov/Archives/edgar/data/1091667/000109166716000565/a102816chtr8-kexh102.htm" TargetMode="External"/><Relationship Id="rId227" Type="http://schemas.openxmlformats.org/officeDocument/2006/relationships/hyperlink" Target="http://www.sec.gov/Archives/edgar/data/1091667/000109166717000030/chtr12312016exh-10102.htm" TargetMode="External"/><Relationship Id="rId228" Type="http://schemas.openxmlformats.org/officeDocument/2006/relationships/hyperlink" Target="http://www.sec.gov/Archives/edgar/data/1091667/000109166717000030/chtr12312016exh-10103.htm" TargetMode="External"/><Relationship Id="rId229" Type="http://schemas.openxmlformats.org/officeDocument/2006/relationships/hyperlink" Target="http://www.sec.gov/Archives/edgar/data/1091667/000119312519074765/d717086ddef14a.htm" TargetMode="External"/><Relationship Id="rId230" Type="http://schemas.openxmlformats.org/officeDocument/2006/relationships/hyperlink" Target="http://www.sec.gov/Archives/edgar/data/1091667/000119312517377666/d501894dex991.htm" TargetMode="External"/><Relationship Id="rId231" Type="http://schemas.openxmlformats.org/officeDocument/2006/relationships/hyperlink" Target="http://www.sec.gov/Archives/edgar/data/1091667/000109166720000024/chtr12312019exh-10152.htm" TargetMode="External"/><Relationship Id="rId232" Type="http://schemas.openxmlformats.org/officeDocument/2006/relationships/hyperlink" Target="http://www.sec.gov/Archives/edgar/data/1091667/000109166719000097/chtr6302019exh-102.htm" TargetMode="External"/><Relationship Id="rId233" Type="http://schemas.openxmlformats.org/officeDocument/2006/relationships/hyperlink" Target="http://www.sec.gov/Archives/edgar/data/1091667/000109166719000097/chtr6302019exh-103.htm" TargetMode="External"/><Relationship Id="rId234" Type="http://schemas.openxmlformats.org/officeDocument/2006/relationships/hyperlink" Target="http://www.sec.gov/Archives/edgar/data/1091667/000109166719000097/chtr6302019exh-104.htm" TargetMode="External"/><Relationship Id="rId235" Type="http://schemas.openxmlformats.org/officeDocument/2006/relationships/hyperlink" Target="http://www.sec.gov/Archives/edgar/data/1091667/000109166723000034/a022223chtr8-kexh101.htm" TargetMode="External"/><Relationship Id="rId236" Type="http://schemas.openxmlformats.org/officeDocument/2006/relationships/hyperlink" Target="http://www.sec.gov/Archives/edgar/data/1091667/000109166723000034/a022223chtr8-kexh102.htm" TargetMode="External"/><Relationship Id="rId237" Type="http://schemas.openxmlformats.org/officeDocument/2006/relationships/hyperlink" Target="http://www.sec.gov/Archives/edgar/data/1377013/000095014407001123/g04695exv10w45.htm" TargetMode="External"/><Relationship Id="rId238" Type="http://schemas.openxmlformats.org/officeDocument/2006/relationships/hyperlink" Target="http://www.sec.gov/Archives/edgar/data/1377013/000095014409003639/g18658exv10w1.htm" TargetMode="External"/><Relationship Id="rId239" Type="http://schemas.openxmlformats.org/officeDocument/2006/relationships/hyperlink" Target="http://www.sec.gov/Archives/edgar/data/1377013/000095012311033404/g26709def14a.htm" TargetMode="External"/><Relationship Id="rId240" Type="http://schemas.openxmlformats.org/officeDocument/2006/relationships/hyperlink" Target="http://www.sec.gov/Archives/edgar/data/1091667/000109166722000104/a092022chtr8-kexh101.htm" TargetMode="External"/><Relationship Id="rId241" Type="http://schemas.openxmlformats.org/officeDocument/2006/relationships/hyperlink" Target="http://www.sec.gov/Archives/edgar/data/1091667/000109166723000119/a081523chtr8kexh101.htm" TargetMode="External"/><Relationship Id="rId242" Type="http://schemas.openxmlformats.org/officeDocument/2006/relationships/hyperlink" Target="http://www.sec.gov/Archives/edgar/data/1091667/000109166722000104/a092022chtr8-kexh102.htm" TargetMode="External"/><Relationship Id="rId244" Type="http://schemas.openxmlformats.org/officeDocument/2006/relationships/hyperlink" Target="http://www.sec.gov/Archives/edgar/data/1091667/000109166723000034/a022223chtr8-kexh103.htm" TargetMode="External"/><Relationship Id="rId245" Type="http://schemas.openxmlformats.org/officeDocument/2006/relationships/hyperlink" Target="http://www.sec.gov/Archives/edgar/data/1091667/000109166722000104/a092022chtr8-kexh103.htm" TargetMode="External"/><Relationship Id="rId246" Type="http://schemas.openxmlformats.org/officeDocument/2006/relationships/hyperlink" Target="http://www.sec.gov/Archives/edgar/data/1091667/000109166723000034/a022223chtr8-kexh104.htm" TargetMode="External"/><Relationship Id="rId247" Type="http://schemas.openxmlformats.org/officeDocument/2006/relationships/hyperlink" Target="http://www.sec.gov/Archives/edgar/data/1091667/000109166723000024/chtr12312022exh-1071b.htm" TargetMode="External"/><Relationship Id="rId248" Type="http://schemas.openxmlformats.org/officeDocument/2006/relationships/hyperlink" Target="http://www.sec.gov/Archives/edgar/data/1091667/000119312516805546/d270544dex991.htm" TargetMode="External"/><Relationship Id="rId249" Type="http://schemas.openxmlformats.org/officeDocument/2006/relationships/hyperlink" Target="http://www.sec.gov/Archives/edgar/data/1091667/000109166721000032/a022321chtr8-kexh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2024-02-02T06:10:44Z</dcterms:created>
  <dcterms:modified xsi:type="dcterms:W3CDTF">2024-02-02T06:10:44Z</dcterms:modified>
</cp:coreProperties>
</file>