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31F20"/>
        </w:rPr>
        <w:t>As filed with the Securities and Exchange Commission on November 3,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333-299574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Pre-Effective Amendment No. 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to</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Form S-4</w:t>
      </w:r>
    </w:p>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REGISTRATION STATEMENT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231F20"/>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5"/>
          <w:szCs w:val="25"/>
          <w:b w:val="1"/>
          <w:bCs w:val="1"/>
          <w:color w:val="231F20"/>
        </w:rPr>
        <w:t>Charter Communications Operating, LLC</w:t>
      </w:r>
    </w:p>
    <w:p>
      <w:pPr>
        <w:spacing w:after="0" w:line="44"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5"/>
          <w:szCs w:val="25"/>
          <w:b w:val="1"/>
          <w:bCs w:val="1"/>
          <w:color w:val="231F20"/>
        </w:rPr>
        <w:t>Charter Communications Operating Capital Corp.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CCO Holdings, LLC*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(Exact name of registrant guarantor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9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231F20"/>
                <w:w w:val="98"/>
              </w:rPr>
              <w:t>Delaware</w:t>
            </w:r>
          </w:p>
        </w:tc>
        <w:tc>
          <w:tcPr>
            <w:tcW w:w="3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9"/>
              </w:rPr>
              <w:t>4841</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231F20"/>
                <w:w w:val="98"/>
              </w:rPr>
              <w:t>43-1843260</w:t>
            </w:r>
          </w:p>
        </w:tc>
      </w:tr>
      <w:tr>
        <w:trPr>
          <w:trHeight w:val="216"/>
        </w:trPr>
        <w:tc>
          <w:tcPr>
            <w:tcW w:w="29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231F20"/>
                <w:w w:val="98"/>
              </w:rPr>
              <w:t>Delaware</w:t>
            </w:r>
          </w:p>
        </w:tc>
        <w:tc>
          <w:tcPr>
            <w:tcW w:w="3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9"/>
              </w:rPr>
              <w:t>4841</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231F20"/>
                <w:w w:val="98"/>
              </w:rPr>
              <w:t>20-1044453</w:t>
            </w:r>
          </w:p>
        </w:tc>
      </w:tr>
      <w:tr>
        <w:trPr>
          <w:trHeight w:val="220"/>
        </w:trPr>
        <w:tc>
          <w:tcPr>
            <w:tcW w:w="29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231F20"/>
                <w:w w:val="98"/>
              </w:rPr>
              <w:t>Delaware</w:t>
            </w:r>
          </w:p>
        </w:tc>
        <w:tc>
          <w:tcPr>
            <w:tcW w:w="3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31F20"/>
                <w:w w:val="99"/>
              </w:rPr>
              <w:t>4841</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231F20"/>
                <w:w w:val="98"/>
              </w:rPr>
              <w:t>86-1067239</w:t>
            </w:r>
          </w:p>
        </w:tc>
      </w:tr>
      <w:tr>
        <w:trPr>
          <w:trHeight w:val="216"/>
        </w:trPr>
        <w:tc>
          <w:tcPr>
            <w:tcW w:w="2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400 Washington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Stamford, Connecticut 06902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905-7801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Jamal H. Haughton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Executive Vice President,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400 Washington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Stamford, Connecticut 06902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428-0238</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231F20"/>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Copies 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Christian O. Nagler, P.C.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601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New York, New York 10022-4611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Approximate date of commencement of proposed sale of the securities to the public: </w:t>
      </w:r>
      <w:r>
        <w:rPr>
          <w:rFonts w:ascii="Times New Roman" w:cs="Times New Roman" w:eastAsia="Times New Roman" w:hAnsi="Times New Roman"/>
          <w:sz w:val="18"/>
          <w:szCs w:val="18"/>
          <w:color w:val="231F20"/>
        </w:rPr>
        <w:t>As soon as practicable after the effective date of this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registration statement.</w:t>
      </w:r>
    </w:p>
    <w:p>
      <w:pPr>
        <w:spacing w:after="0" w:line="159" w:lineRule="exact"/>
        <w:rPr>
          <w:sz w:val="24"/>
          <w:szCs w:val="24"/>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231F20"/>
        </w:rPr>
        <w:t>☐</w:t>
      </w:r>
    </w:p>
    <w:p>
      <w:pPr>
        <w:spacing w:after="0" w:line="170" w:lineRule="exact"/>
        <w:rPr>
          <w:sz w:val="24"/>
          <w:szCs w:val="24"/>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170"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170"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580"/>
        <w:spacing w:after="0" w:line="207" w:lineRule="exact"/>
        <w:tabs>
          <w:tab w:leader="none" w:pos="2580" w:val="left"/>
          <w:tab w:leader="none" w:pos="7640" w:val="left"/>
          <w:tab w:leader="none" w:pos="9660" w:val="left"/>
        </w:tabs>
        <w:rPr>
          <w:sz w:val="20"/>
          <w:szCs w:val="20"/>
          <w:color w:val="auto"/>
        </w:rPr>
      </w:pPr>
      <w:r>
        <w:rPr>
          <w:rFonts w:ascii="Times New Roman" w:cs="Times New Roman" w:eastAsia="Times New Roman" w:hAnsi="Times New Roman"/>
          <w:sz w:val="18"/>
          <w:szCs w:val="18"/>
          <w:color w:val="231F20"/>
        </w:rPr>
        <w:t>Large accelerated filer</w:t>
      </w:r>
      <w:r>
        <w:rPr>
          <w:sz w:val="20"/>
          <w:szCs w:val="20"/>
          <w:color w:val="auto"/>
        </w:rPr>
        <w:tab/>
      </w:r>
      <w:r>
        <w:rPr>
          <w:rFonts w:ascii="MS PGothic" w:cs="MS PGothic" w:eastAsia="MS PGothic" w:hAnsi="MS PGothic"/>
          <w:sz w:val="18"/>
          <w:szCs w:val="18"/>
          <w:color w:val="231F20"/>
        </w:rPr>
        <w:t>☒</w:t>
      </w:r>
      <w:r>
        <w:rPr>
          <w:sz w:val="20"/>
          <w:szCs w:val="20"/>
          <w:color w:val="auto"/>
        </w:rPr>
        <w:tab/>
      </w:r>
      <w:r>
        <w:rPr>
          <w:rFonts w:ascii="Times New Roman" w:cs="Times New Roman" w:eastAsia="Times New Roman" w:hAnsi="Times New Roman"/>
          <w:sz w:val="18"/>
          <w:szCs w:val="18"/>
          <w:color w:val="231F20"/>
        </w:rPr>
        <w:t>Accelerated filer</w:t>
      </w:r>
      <w:r>
        <w:rPr>
          <w:sz w:val="20"/>
          <w:szCs w:val="20"/>
          <w:color w:val="auto"/>
        </w:rPr>
        <w:tab/>
      </w:r>
      <w:r>
        <w:rPr>
          <w:rFonts w:ascii="MS PGothic" w:cs="MS PGothic" w:eastAsia="MS PGothic" w:hAnsi="MS PGothic"/>
          <w:sz w:val="16"/>
          <w:szCs w:val="16"/>
          <w:color w:val="231F20"/>
        </w:rPr>
        <w:t>☐</w:t>
      </w:r>
    </w:p>
    <w:p>
      <w:pPr>
        <w:sectPr>
          <w:pgSz w:w="11900" w:h="16838" w:orient="portrait"/>
          <w:cols w:equalWidth="0" w:num="1">
            <w:col w:w="11240"/>
          </w:cols>
          <w:pgMar w:left="320" w:top="468" w:right="339" w:bottom="0" w:gutter="0" w:footer="0" w:header="0"/>
        </w:sectPr>
      </w:pPr>
    </w:p>
    <w:bookmarkStart w:id="1" w:name="page2"/>
    <w:bookmarkEnd w:id="1"/>
    <w:p>
      <w:pPr>
        <w:spacing w:after="0" w:line="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231F20"/>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231F20"/>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231F20"/>
        </w:rPr>
        <w:t xml:space="preserve">Smaller reporting company </w:t>
      </w:r>
      <w:r>
        <w:rPr>
          <w:rFonts w:ascii="MS PGothic" w:cs="MS PGothic" w:eastAsia="MS PGothic" w:hAnsi="MS PGothic"/>
          <w:sz w:val="17"/>
          <w:szCs w:val="17"/>
          <w:color w:val="231F20"/>
        </w:rPr>
        <w:t>☐</w:t>
      </w:r>
    </w:p>
    <w:p>
      <w:pPr>
        <w:spacing w:after="0" w:line="8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2100" w:space="500"/>
            <w:col w:w="4340" w:space="720"/>
            <w:col w:w="3400"/>
          </w:cols>
          <w:pgMar w:left="320" w:top="81" w:right="519" w:bottom="1440" w:gutter="0" w:footer="0" w:header="0"/>
        </w:sectPr>
      </w:pPr>
    </w:p>
    <w:p>
      <w:pPr>
        <w:spacing w:after="0" w:line="17"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231F20"/>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If applicable, place an X in the box to designate the appropriate rule provision relied upon in conducting this transaction: Exchange Act</w:t>
      </w:r>
    </w:p>
    <w:p>
      <w:pPr>
        <w:spacing w:after="0" w:line="184"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231F20"/>
        </w:rPr>
        <w:t xml:space="preserve">Rule 13e-4(i) (Cross-Border Issuer Tender Offer) </w:t>
      </w:r>
      <w:r>
        <w:rPr>
          <w:rFonts w:ascii="MS PGothic" w:cs="MS PGothic" w:eastAsia="MS PGothic" w:hAnsi="MS PGothic"/>
          <w:sz w:val="18"/>
          <w:szCs w:val="18"/>
          <w:color w:val="231F20"/>
        </w:rPr>
        <w:t>☐</w:t>
      </w:r>
    </w:p>
    <w:p>
      <w:pPr>
        <w:spacing w:after="0" w:line="225"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231F20"/>
        </w:rPr>
        <w:t xml:space="preserve">Exchange Act Rule 14d-1(d) (Cross-Border Third-Party Tender Offer) </w:t>
      </w:r>
      <w:r>
        <w:rPr>
          <w:rFonts w:ascii="MS PGothic" w:cs="MS PGothic" w:eastAsia="MS PGothic" w:hAnsi="MS PGothic"/>
          <w:sz w:val="18"/>
          <w:szCs w:val="18"/>
          <w:color w:val="231F20"/>
        </w:rPr>
        <w:t>☐</w:t>
      </w:r>
    </w:p>
    <w:p>
      <w:pPr>
        <w:spacing w:after="0" w:line="262"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231F20"/>
        </w:rPr>
        <w:t>The Registrants hereby amend this registration statement on form S-4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1" w:lineRule="exact"/>
        <w:rPr>
          <w:sz w:val="20"/>
          <w:szCs w:val="20"/>
          <w:color w:val="auto"/>
        </w:rPr>
      </w:pPr>
    </w:p>
    <w:p>
      <w:pPr>
        <w:ind w:left="340" w:right="220" w:hanging="332"/>
        <w:spacing w:after="0" w:line="282" w:lineRule="auto"/>
        <w:tabs>
          <w:tab w:leader="none" w:pos="3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companies listed below in the Table of Subsidiary Guarantors are also included in this Registration Statement on Form S-4 as additional Note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81" w:right="519" w:bottom="1440" w:gutter="0" w:footer="0" w:header="0"/>
          <w:type w:val="continuous"/>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Pre-Effective Amendment No. 1 (this “Amendment”) to the Registration Statement on Form S-4 of Charter Communications Operating, LLC and Charter Communications Operating Capital Corp. (File Nos. 333-299574 and 333-299574-72) and the other registrants named therein (the “Registration Statement”) is being filed as an exhibit-only filing to file the Consent of KPMG LLP, filed herewith as Exhibit 23.2 and the Consent of Deloitte &amp; Touche LLP, filed herewith as Exhibit 23.3 (collectively, the “Consents”). Accordingly, this Amendment consists only of the facing page, this explanatory note, Item 21 of Part II of the Registration Statement, the signature pages to the Registration Statement and the Consents filed herewith as Exhibit 23.2 and Exhibit 23.3. The prospectus and the balance of Part II of the Registration Statement are unchanged and have been omitted.</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INFORMATION NOT REQUIRED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21.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Reference is made to the exhibit index filed as part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Financial Statement Schedules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Certain schedules have been omitted because of the absence of the conditions under which they are required or because the information required by such omitted schedules is set forth in the financial statements or the notes thereto.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2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gridSpan w:val="19"/>
          </w:tcPr>
          <w:p>
            <w:pPr>
              <w:ind w:left="40"/>
              <w:spacing w:after="0"/>
              <w:rPr>
                <w:sz w:val="20"/>
                <w:szCs w:val="20"/>
                <w:color w:val="auto"/>
              </w:rPr>
            </w:pPr>
            <w:r>
              <w:rPr>
                <w:rFonts w:ascii="Times New Roman" w:cs="Times New Roman" w:eastAsia="Times New Roman" w:hAnsi="Times New Roman"/>
                <w:sz w:val="18"/>
                <w:szCs w:val="18"/>
                <w:b w:val="1"/>
                <w:bCs w:val="1"/>
                <w:color w:val="231F20"/>
              </w:rPr>
              <w:t>Description</w:t>
            </w:r>
          </w:p>
        </w:tc>
      </w:tr>
      <w:tr>
        <w:trPr>
          <w:trHeight w:val="169"/>
        </w:trPr>
        <w:tc>
          <w:tcPr>
            <w:tcW w:w="520" w:type="dxa"/>
            <w:vAlign w:val="bottom"/>
            <w:gridSpan w:val="2"/>
          </w:tcPr>
          <w:p>
            <w:pPr>
              <w:spacing w:after="0" w:line="169"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22"/>
          </w:tcPr>
          <w:p>
            <w:pPr>
              <w:spacing w:after="0" w:line="169"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Indenture, dated as of July 23, 2015, among Charter Communications Operating, LLC, Charter Communications Operating Capital</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Corp. and CCO Safari II, LLC, as issuers, and The Bank of New York Mellon Trust Company, N.A., as trustee and collateral agent</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(incorporated by reference to Exhibit 4.1 to the Current Report on Form 8-K filed by Charter Communications, Inc. on July 27, 2015</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(File No. 001-33664)).</w:t>
              </w:r>
            </w:hyperlink>
          </w:p>
        </w:tc>
        <w:tc>
          <w:tcPr>
            <w:tcW w:w="7920" w:type="dxa"/>
            <w:vAlign w:val="bottom"/>
            <w:tcBorders>
              <w:top w:val="single" w:sz="8" w:color="0000EE"/>
            </w:tcBorders>
            <w:gridSpan w:val="16"/>
          </w:tcPr>
          <w:p>
            <w:pPr>
              <w:spacing w:after="0"/>
              <w:rPr>
                <w:sz w:val="17"/>
                <w:szCs w:val="17"/>
                <w:color w:val="auto"/>
              </w:rPr>
            </w:pPr>
          </w:p>
        </w:tc>
        <w:tc>
          <w:tcPr>
            <w:tcW w:w="320" w:type="dxa"/>
            <w:vAlign w:val="bottom"/>
            <w:gridSpan w:val="5"/>
          </w:tcPr>
          <w:p>
            <w:pPr>
              <w:spacing w:after="0"/>
              <w:rPr>
                <w:sz w:val="17"/>
                <w:szCs w:val="17"/>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Second Supplemental Indenture, dated as of May 18, 2016, by and among Charter Communications Operating, LLC, Charter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Communications Operating Capital Corp., CCO Safari II, LLC and The Bank of New York Mellon Trust Company, N.A., as trustee and</w:t>
              </w:r>
            </w:hyperlink>
          </w:p>
        </w:tc>
        <w:tc>
          <w:tcPr>
            <w:tcW w:w="8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collateral agent (incorporated by reference to Exhibit 4.1 to the Current Report on Form 8-K filed by Charter Communications, Inc. on</w:t>
              </w:r>
            </w:hyperlink>
          </w:p>
        </w:tc>
        <w:tc>
          <w:tcPr>
            <w:tcW w:w="180" w:type="dxa"/>
            <w:vAlign w:val="bottom"/>
            <w:gridSpan w:val="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May 24, 2016 (File No. 001-33664)).</w:t>
              </w:r>
            </w:hyperlink>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Twenty-Seventh Supplemental Indenture, dated as of August 12, 2026, among Charter Communications Operating, LLC, Charter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Communications Operating Capital Corp., as issuers, CCO Holdings, LLC, the subsidiary guarantors party thereto and The Bank of New</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York Mellon Trust Company, N.A., as trustee and collateral agent (incorporated by reference to Exhibit 4.2 to the Current Report on</w:t>
              </w:r>
            </w:hyperlink>
          </w:p>
        </w:tc>
        <w:tc>
          <w:tcPr>
            <w:tcW w:w="3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8-K filed by Charter Communications, Inc. on August 12, 2026).</w:t>
              </w:r>
            </w:hyperlink>
          </w:p>
        </w:tc>
        <w:tc>
          <w:tcPr>
            <w:tcW w:w="4760" w:type="dxa"/>
            <w:vAlign w:val="bottom"/>
            <w:gridSpan w:val="17"/>
          </w:tcPr>
          <w:p>
            <w:pPr>
              <w:spacing w:after="0"/>
              <w:rPr>
                <w:sz w:val="17"/>
                <w:szCs w:val="17"/>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Twenty-Ninth Supplemental Indenture, dated as of August 24, 2026, among Charter Communications Operating, LLC, Charter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Communications Operating Capital Corp., as issuers, CCO Holdings, LLC, the subsidiary guarantors party thereto and The Bank of New</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York Mellon Trust Company, N.A., as trustee and collateral agent (incorporated by reference to Exhibit 4.3 to the Current Report on</w:t>
              </w:r>
            </w:hyperlink>
          </w:p>
        </w:tc>
        <w:tc>
          <w:tcPr>
            <w:tcW w:w="3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8-K filed by Charter Communications, Inc. on August 24, 2026).</w:t>
              </w:r>
            </w:hyperlink>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Thirtieth Supplemental Indenture, dated as of August 24, 2026, by and among Charter Communications Operating, LLC, Charter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Communications Operating Capital Corp., and The Bank of New York Mellon Trust Company, N.A., as trustee and collateral agent</w:t>
              </w:r>
            </w:hyperlink>
          </w:p>
        </w:tc>
        <w:tc>
          <w:tcPr>
            <w:tcW w:w="420" w:type="dxa"/>
            <w:vAlign w:val="bottom"/>
            <w:gridSpan w:val="7"/>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(incorporated by reference to Exhibit 4.1 to the Current Report on Form 8-K filed by Charter Communications, Inc. on August 26, 2026</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(File No. 001-33664)).</w:t>
              </w:r>
            </w:hyperlink>
          </w:p>
        </w:tc>
        <w:tc>
          <w:tcPr>
            <w:tcW w:w="8140" w:type="dxa"/>
            <w:vAlign w:val="bottom"/>
            <w:tcBorders>
              <w:top w:val="single" w:sz="8" w:color="0000EE"/>
            </w:tcBorders>
            <w:gridSpan w:val="18"/>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4.6*</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Form of 7.087% Senior Secured Notes due 2038 (included in </w:t>
            </w:r>
            <w:hyperlink r:id="rId24">
              <w:r>
                <w:rPr>
                  <w:rFonts w:ascii="Times New Roman" w:cs="Times New Roman" w:eastAsia="Times New Roman" w:hAnsi="Times New Roman"/>
                  <w:sz w:val="18"/>
                  <w:szCs w:val="18"/>
                  <w:color w:val="0000EE"/>
                </w:rPr>
                <w:t>Exhibits 4.3</w:t>
              </w:r>
              <w:r>
                <w:rPr>
                  <w:rFonts w:ascii="Times New Roman" w:cs="Times New Roman" w:eastAsia="Times New Roman" w:hAnsi="Times New Roman"/>
                  <w:sz w:val="18"/>
                  <w:szCs w:val="18"/>
                  <w:color w:val="231F20"/>
                </w:rPr>
                <w:t xml:space="preserve"> </w:t>
              </w:r>
            </w:hyperlink>
            <w:r>
              <w:rPr>
                <w:rFonts w:ascii="Times New Roman" w:cs="Times New Roman" w:eastAsia="Times New Roman" w:hAnsi="Times New Roman"/>
                <w:sz w:val="18"/>
                <w:szCs w:val="18"/>
                <w:color w:val="231F20"/>
              </w:rPr>
              <w:t xml:space="preserve">and </w:t>
            </w:r>
            <w:hyperlink r:id="rId25">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231F20"/>
                </w:rPr>
                <w:t xml:space="preserve"> </w:t>
              </w:r>
            </w:hyperlink>
            <w:r>
              <w:rPr>
                <w:rFonts w:ascii="Times New Roman" w:cs="Times New Roman" w:eastAsia="Times New Roman" w:hAnsi="Times New Roman"/>
                <w:sz w:val="18"/>
                <w:szCs w:val="18"/>
                <w:color w:val="231F20"/>
              </w:rPr>
              <w:t>hereto).</w:t>
            </w: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4.7*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Form of 7.337% Senior Secured Notes due 2041 (included in </w:t>
            </w:r>
            <w:hyperlink r:id="rId24">
              <w:r>
                <w:rPr>
                  <w:rFonts w:ascii="Times New Roman" w:cs="Times New Roman" w:eastAsia="Times New Roman" w:hAnsi="Times New Roman"/>
                  <w:sz w:val="18"/>
                  <w:szCs w:val="18"/>
                  <w:color w:val="0000EE"/>
                </w:rPr>
                <w:t>Exhibits 4.3</w:t>
              </w:r>
              <w:r>
                <w:rPr>
                  <w:rFonts w:ascii="Times New Roman" w:cs="Times New Roman" w:eastAsia="Times New Roman" w:hAnsi="Times New Roman"/>
                  <w:sz w:val="18"/>
                  <w:szCs w:val="18"/>
                  <w:color w:val="231F20"/>
                </w:rPr>
                <w:t xml:space="preserve"> </w:t>
              </w:r>
            </w:hyperlink>
            <w:r>
              <w:rPr>
                <w:rFonts w:ascii="Times New Roman" w:cs="Times New Roman" w:eastAsia="Times New Roman" w:hAnsi="Times New Roman"/>
                <w:sz w:val="18"/>
                <w:szCs w:val="18"/>
                <w:color w:val="231F20"/>
              </w:rPr>
              <w:t xml:space="preserve">and </w:t>
            </w:r>
            <w:hyperlink r:id="rId25">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231F20"/>
                </w:rPr>
                <w:t xml:space="preserve"> </w:t>
              </w:r>
            </w:hyperlink>
            <w:r>
              <w:rPr>
                <w:rFonts w:ascii="Times New Roman" w:cs="Times New Roman" w:eastAsia="Times New Roman" w:hAnsi="Times New Roman"/>
                <w:sz w:val="18"/>
                <w:szCs w:val="18"/>
                <w:color w:val="231F20"/>
              </w:rPr>
              <w:t>hereto).</w:t>
            </w:r>
          </w:p>
        </w:tc>
      </w:tr>
      <w:tr>
        <w:trPr>
          <w:trHeight w:val="20"/>
        </w:trPr>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gridSpan w:val="3"/>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8(a)*</w:t>
              </w:r>
            </w:hyperlink>
          </w:p>
        </w:tc>
        <w:tc>
          <w:tcPr>
            <w:tcW w:w="220" w:type="dxa"/>
            <w:vAlign w:val="bottom"/>
          </w:tcPr>
          <w:p>
            <w:pPr>
              <w:spacing w:after="0"/>
              <w:rPr>
                <w:sz w:val="24"/>
                <w:szCs w:val="24"/>
                <w:color w:val="auto"/>
              </w:rPr>
            </w:pPr>
          </w:p>
        </w:tc>
        <w:tc>
          <w:tcPr>
            <w:tcW w:w="9880" w:type="dxa"/>
            <w:vAlign w:val="bottom"/>
            <w:gridSpan w:val="2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Restatement Agreement, dated as of April 26, 2019, to the Amended and Restated Credit Agreement, dated as of March 18, 1999,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on December 21, 2017 and as amended by Amendment No. 1 as of January 24, 2019, by and among Charter</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2"/>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Communications Operating, LLC, CCO Holdings, LLC, certain subsidiaries of Charter Communications Operating, LLC, the lenders</w:t>
              </w:r>
            </w:hyperlink>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gridSpan w:val="9"/>
            <w:shd w:val="clear" w:color="auto" w:fill="0000EE"/>
          </w:tcPr>
          <w:p>
            <w:pPr>
              <w:spacing w:after="0" w:line="20" w:lineRule="exact"/>
              <w:rPr>
                <w:sz w:val="1"/>
                <w:szCs w:val="1"/>
                <w:color w:val="auto"/>
              </w:rPr>
            </w:pPr>
          </w:p>
        </w:tc>
        <w:tc>
          <w:tcPr>
            <w:tcW w:w="348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party thereto and Bank of America, N.A., as Administrative Agent (incorporated by reference to Exhibit 10.4 to the Quarterly Report on</w:t>
              </w:r>
            </w:hyperlink>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10-Q of Charter Communications, Inc. filed April 30, 2019 (File No. 001-33664)).</w:t>
              </w:r>
            </w:hyperlink>
          </w:p>
        </w:tc>
        <w:tc>
          <w:tcPr>
            <w:tcW w:w="3500" w:type="dxa"/>
            <w:vAlign w:val="bottom"/>
            <w:gridSpan w:val="13"/>
          </w:tcPr>
          <w:p>
            <w:pPr>
              <w:spacing w:after="0"/>
              <w:rPr>
                <w:sz w:val="17"/>
                <w:szCs w:val="17"/>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22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gridSpan w:val="22"/>
          </w:tcPr>
          <w:p>
            <w:pPr>
              <w:ind w:left="2460"/>
              <w:spacing w:after="0"/>
              <w:rPr>
                <w:sz w:val="20"/>
                <w:szCs w:val="20"/>
                <w:color w:val="auto"/>
              </w:rPr>
            </w:pPr>
            <w:r>
              <w:rPr>
                <w:rFonts w:ascii="Times New Roman" w:cs="Times New Roman" w:eastAsia="Times New Roman" w:hAnsi="Times New Roman"/>
                <w:sz w:val="18"/>
                <w:szCs w:val="18"/>
                <w:b w:val="1"/>
                <w:bCs w:val="1"/>
                <w:color w:val="231F20"/>
              </w:rPr>
              <w:t>Description</w:t>
            </w:r>
          </w:p>
        </w:tc>
      </w:tr>
      <w:tr>
        <w:trPr>
          <w:trHeight w:val="169"/>
        </w:trPr>
        <w:tc>
          <w:tcPr>
            <w:tcW w:w="540" w:type="dxa"/>
            <w:vAlign w:val="bottom"/>
            <w:gridSpan w:val="2"/>
          </w:tcPr>
          <w:p>
            <w:pPr>
              <w:spacing w:after="0" w:line="169"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8(b)*</w:t>
              </w:r>
            </w:hyperlink>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23"/>
          </w:tcPr>
          <w:p>
            <w:pPr>
              <w:spacing w:after="0" w:line="169"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Amendment No. 1, dated as of October 24, 2019, to the Amended and Restated Credit Agreement, dated as of March 18, 1999, as</w:t>
              </w:r>
            </w:hyperlink>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amended and restated on April 26, 2019, by and among Charter Communications Operating, LLC, CCO Holdings, LLC, certain</w:t>
              </w:r>
            </w:hyperlink>
          </w:p>
        </w:tc>
        <w:tc>
          <w:tcPr>
            <w:tcW w:w="120" w:type="dxa"/>
            <w:vAlign w:val="bottom"/>
            <w:tcBorders>
              <w:top w:val="single" w:sz="8" w:color="0000EE"/>
            </w:tcBorders>
            <w:gridSpan w:val="3"/>
          </w:tcPr>
          <w:p>
            <w:pPr>
              <w:spacing w:after="0"/>
              <w:rPr>
                <w:sz w:val="17"/>
                <w:szCs w:val="17"/>
                <w:color w:val="auto"/>
              </w:rPr>
            </w:pPr>
          </w:p>
        </w:tc>
        <w:tc>
          <w:tcPr>
            <w:tcW w:w="540" w:type="dxa"/>
            <w:vAlign w:val="bottom"/>
            <w:gridSpan w:val="1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subsidiaries of Charter Communications Operating, LLC, the lenders party thereto and Bank of America, N.A., as administrative agent</w:t>
              </w:r>
            </w:hyperlink>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(incorporated by reference to Exhibit 10.2 to the Current Report on Form 8-K filed by Charter Communications, Inc. on October 30,</w:t>
              </w:r>
            </w:hyperlink>
          </w:p>
        </w:tc>
        <w:tc>
          <w:tcPr>
            <w:tcW w:w="160" w:type="dxa"/>
            <w:vAlign w:val="bottom"/>
            <w:tcBorders>
              <w:top w:val="single" w:sz="8" w:color="0000EE"/>
            </w:tcBorders>
            <w:gridSpan w:val="5"/>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2019 (File No. 001-33664)).</w:t>
              </w:r>
            </w:hyperlink>
          </w:p>
        </w:tc>
      </w:tr>
      <w:tr>
        <w:trPr>
          <w:trHeight w:val="20"/>
        </w:trPr>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gridSpan w:val="3"/>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8(c)*</w:t>
              </w:r>
            </w:hyperlink>
          </w:p>
        </w:tc>
        <w:tc>
          <w:tcPr>
            <w:tcW w:w="22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Amendment No. 2, dated as of May 26, 2022, to (i) the Amended and Restated Credit Agreement, dated as of March 18, 1999, as</w:t>
              </w:r>
            </w:hyperlink>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amended and restated on April 26, 2019 and as amended by Amendment No. 1 on October 24, 2019, by and among Charter</w:t>
              </w:r>
            </w:hyperlink>
          </w:p>
        </w:tc>
        <w:tc>
          <w:tcPr>
            <w:tcW w:w="420" w:type="dxa"/>
            <w:vAlign w:val="bottom"/>
            <w:tcBorders>
              <w:top w:val="single" w:sz="8" w:color="0000EE"/>
            </w:tcBorders>
            <w:gridSpan w:val="4"/>
          </w:tcPr>
          <w:p>
            <w:pPr>
              <w:spacing w:after="0"/>
              <w:rPr>
                <w:sz w:val="17"/>
                <w:szCs w:val="17"/>
                <w:color w:val="auto"/>
              </w:rPr>
            </w:pPr>
          </w:p>
        </w:tc>
        <w:tc>
          <w:tcPr>
            <w:tcW w:w="560" w:type="dxa"/>
            <w:vAlign w:val="bottom"/>
            <w:gridSpan w:val="15"/>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Communications Operating, LLC, CCO Holdings, LLC, certain subsidiaries of Charter Communications Operating, LLC, the lenders</w:t>
              </w:r>
            </w:hyperlink>
          </w:p>
        </w:tc>
        <w:tc>
          <w:tcPr>
            <w:tcW w:w="260" w:type="dxa"/>
            <w:vAlign w:val="bottom"/>
            <w:gridSpan w:val="8"/>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party thereto and Bank of America, N.A., as administrative agent and (ii) the Amended and Restated Guarantee and Collateral</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Agreement, dated as of March 18, 1999, as amended and restated as of March 6, 2007, as amended and restated as of March 31, 2010, as</w:t>
              </w:r>
            </w:hyperlink>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amended and restated as of May 18, 2016 and as further amended as of January 24, 2019, by Charter Communications Operating, LLC,</w:t>
              </w:r>
            </w:hyperlink>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CCO Holdings, LLC, certain subsidiaries of Charter Communications Operating, LLC and Bank of America, N.A., as administrative</w:t>
              </w:r>
            </w:hyperlink>
          </w:p>
        </w:tc>
        <w:tc>
          <w:tcPr>
            <w:tcW w:w="120" w:type="dxa"/>
            <w:vAlign w:val="bottom"/>
            <w:gridSpan w:val="4"/>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agent (incorporated by reference to Exhibit 10.1 to the Current Report on Form 8-K filed by Charter Communications, Inc. on June 2,</w:t>
              </w:r>
            </w:hyperlink>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2022 (File No. 001-33664)).</w:t>
              </w:r>
            </w:hyperlink>
          </w:p>
        </w:tc>
        <w:tc>
          <w:tcPr>
            <w:tcW w:w="260" w:type="dxa"/>
            <w:vAlign w:val="bottom"/>
            <w:gridSpan w:val="8"/>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8(d)*</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Amendment No. 3, dated as of February 10, 2023, to the Amended and Restated Credit Agreement, dated as of March 18, 1999, as</w:t>
              </w:r>
            </w:hyperlink>
          </w:p>
        </w:tc>
        <w:tc>
          <w:tcPr>
            <w:tcW w:w="440" w:type="dxa"/>
            <w:vAlign w:val="bottom"/>
            <w:gridSpan w:val="1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amended and restated on April 26, 2019, as amended by Amendment No. 1 on October 24, 2019 and as further amended by Amendment</w:t>
              </w:r>
            </w:hyperlink>
          </w:p>
        </w:tc>
        <w:tc>
          <w:tcPr>
            <w:tcW w:w="4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No. 2 on May 26, 2022, by and among Charter Communications Operating, LLC, CCO Holdings, LLC, certain of Charter</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Communications Operating, LLC’s subsidiaries, the lenders party thereto and Bank of America, N.A., as administrative agent</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(incorporated by reference to Exhibit 10.2 to the Current Report on Form 8-K filed by Charter Communications, Inc. on February 16,</w:t>
              </w:r>
            </w:hyperlink>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2023 (File No. 001-33664)).</w:t>
              </w:r>
            </w:hyperlink>
          </w:p>
        </w:tc>
        <w:tc>
          <w:tcPr>
            <w:tcW w:w="280" w:type="dxa"/>
            <w:vAlign w:val="bottom"/>
            <w:gridSpan w:val="9"/>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40" w:type="dxa"/>
            <w:vAlign w:val="bottom"/>
            <w:gridSpan w:val="3"/>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8(e)*</w:t>
              </w:r>
            </w:hyperlink>
          </w:p>
        </w:tc>
        <w:tc>
          <w:tcPr>
            <w:tcW w:w="22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Amendment No. 4, dated as of March 23, 2023, to the Amended and Restated Credit Agreement, dated as of March 18, 1999, as</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amended and restated on April 26, 2019, as amended by Amendment No. 1 on October 24, 2019 and as further amended by Amendment</w:t>
              </w:r>
            </w:hyperlink>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No. 2 on May 26, 2022 and as further amended by Amendment No. 3 on February 10, 2023, by and among Charter Communications</w:t>
              </w:r>
            </w:hyperlink>
          </w:p>
        </w:tc>
        <w:tc>
          <w:tcPr>
            <w:tcW w:w="60" w:type="dxa"/>
            <w:vAlign w:val="bottom"/>
            <w:gridSpan w:val="3"/>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4140" w:type="dxa"/>
            <w:vAlign w:val="bottom"/>
            <w:gridSpan w:val="8"/>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Operating, LLC, CCO Holdings, LLC, certain of Charter Communications Operating, LLC’s subsidiaries, the lenders party thereto and</w:t>
              </w:r>
            </w:hyperlink>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Bank of America, N.A., as administrative agent (incorporated by reference to Exhibit 10.1 to the Current Report on Form 8-K filed by</w:t>
              </w:r>
            </w:hyperlink>
          </w:p>
        </w:tc>
        <w:tc>
          <w:tcPr>
            <w:tcW w:w="160" w:type="dxa"/>
            <w:vAlign w:val="bottom"/>
            <w:gridSpan w:val="5"/>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Charter Communications, Inc. on March 29, 2023 (File No. 001-33664)).</w:t>
              </w:r>
            </w:hyperlink>
          </w:p>
        </w:tc>
        <w:tc>
          <w:tcPr>
            <w:tcW w:w="4380" w:type="dxa"/>
            <w:vAlign w:val="bottom"/>
            <w:tcBorders>
              <w:top w:val="single" w:sz="8" w:color="0000EE"/>
            </w:tcBorders>
            <w:gridSpan w:val="1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140" w:type="dxa"/>
            <w:vAlign w:val="bottom"/>
            <w:gridSpan w:val="3"/>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8(f)*</w:t>
              </w:r>
            </w:hyperlink>
          </w:p>
        </w:tc>
        <w:tc>
          <w:tcPr>
            <w:tcW w:w="22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Amendment No. 5, dated as of December 7, 2023, to the Amended and Restated Credit Agreement, dated as of March 18, 1999, as</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20" w:type="dxa"/>
            <w:vAlign w:val="bottom"/>
            <w:gridSpan w:val="10"/>
            <w:shd w:val="clear" w:color="auto" w:fill="0000EE"/>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amended and restated on April 26, 2019, as amended by Amendment No. 1 on October 24, 2019 and as further amended by Amendment</w:t>
              </w:r>
            </w:hyperlink>
          </w:p>
        </w:tc>
        <w:tc>
          <w:tcPr>
            <w:tcW w:w="40" w:type="dxa"/>
            <w:vAlign w:val="bottom"/>
            <w:gridSpan w:val="2"/>
          </w:tcPr>
          <w:p>
            <w:pPr>
              <w:spacing w:after="0"/>
              <w:rPr>
                <w:sz w:val="17"/>
                <w:szCs w:val="17"/>
                <w:color w:val="auto"/>
              </w:rPr>
            </w:pPr>
          </w:p>
        </w:tc>
      </w:tr>
    </w:tbl>
    <w:p>
      <w:pPr>
        <w:spacing w:after="0" w:line="9" w:lineRule="exact"/>
        <w:rPr>
          <w:sz w:val="20"/>
          <w:szCs w:val="20"/>
          <w:color w:val="auto"/>
        </w:rPr>
      </w:pPr>
    </w:p>
    <w:p>
      <w:pPr>
        <w:ind w:left="1360" w:right="180"/>
        <w:spacing w:after="0" w:line="258" w:lineRule="auto"/>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No. 2 on May 26, 2022 and as further amended by Amendment No. 3 on February 10, 2023 and as further amended by Amendment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No. 4 on March 23, 2023, by and among Charter Communications Operating, LLC, CCO Holdings, LLC, certain of Charter</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Communications Operating, LLC’s subsidiaries, the lenders party thereto and Bank of America, N.A., as administrative agent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(incorporated by reference to Exhibit 10.1 to the Current Report on Form 8-K filed by Charter Communications, Inc. on December 13,</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2023 (File No. 001-33664)).</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2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21"/>
          </w:tcPr>
          <w:p>
            <w:pPr>
              <w:ind w:left="240"/>
              <w:spacing w:after="0"/>
              <w:rPr>
                <w:sz w:val="20"/>
                <w:szCs w:val="20"/>
                <w:color w:val="auto"/>
              </w:rPr>
            </w:pPr>
            <w:r>
              <w:rPr>
                <w:rFonts w:ascii="Times New Roman" w:cs="Times New Roman" w:eastAsia="Times New Roman" w:hAnsi="Times New Roman"/>
                <w:sz w:val="18"/>
                <w:szCs w:val="18"/>
                <w:b w:val="1"/>
                <w:bCs w:val="1"/>
                <w:color w:val="231F20"/>
              </w:rPr>
              <w:t>Description</w:t>
            </w:r>
          </w:p>
        </w:tc>
      </w:tr>
      <w:tr>
        <w:trPr>
          <w:trHeight w:val="169"/>
        </w:trPr>
        <w:tc>
          <w:tcPr>
            <w:tcW w:w="540" w:type="dxa"/>
            <w:vAlign w:val="bottom"/>
            <w:tcBorders>
              <w:bottom w:val="single" w:sz="8" w:color="0000EE"/>
            </w:tcBorders>
            <w:gridSpan w:val="5"/>
          </w:tcPr>
          <w:p>
            <w:pPr>
              <w:spacing w:after="0" w:line="169"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8(g)*</w:t>
              </w:r>
            </w:hyperlink>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Amendment No. 6, dated as of December 3, 2024, to the Amended and Restated Credit Agreement, dated as of March 18, 1999, as</w:t>
              </w:r>
            </w:hyperlink>
          </w:p>
        </w:tc>
        <w:tc>
          <w:tcPr>
            <w:tcW w:w="460" w:type="dxa"/>
            <w:vAlign w:val="bottom"/>
            <w:gridSpan w:val="14"/>
          </w:tcPr>
          <w:p>
            <w:pPr>
              <w:spacing w:after="0"/>
              <w:rPr>
                <w:sz w:val="14"/>
                <w:szCs w:val="1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amended and restated on April 26, 2019, as amended by Amendment No. 1 on October 24, 2019 and as further amended by Amendment</w:t>
              </w:r>
            </w:hyperlink>
          </w:p>
        </w:tc>
        <w:tc>
          <w:tcPr>
            <w:tcW w:w="4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No. 2 on May 26, 2022 and as further amended by Amendment No. 3 on February 10, 2023, as further amended by Amendment No. 4</w:t>
              </w:r>
            </w:hyperlink>
          </w:p>
        </w:tc>
        <w:tc>
          <w:tcPr>
            <w:tcW w:w="20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on March 23, 2023, and as further amended by Amendment No. 5 on December 7, 2023, by and among Charter Communications</w:t>
              </w:r>
            </w:hyperlink>
          </w:p>
        </w:tc>
        <w:tc>
          <w:tcPr>
            <w:tcW w:w="560" w:type="dxa"/>
            <w:vAlign w:val="bottom"/>
            <w:gridSpan w:val="1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1"/>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Operating, LLC, CCO Holdings, LLC, certain of Charter Communications Operating, LLC’s subsidiaries, the lenders party thereto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Bank of America, N.A., as administrative agent (incorporated by reference to Exhibit 10.1 to the Current Report on Form 8-K filed by</w:t>
              </w:r>
            </w:hyperlink>
          </w:p>
        </w:tc>
        <w:tc>
          <w:tcPr>
            <w:tcW w:w="160" w:type="dxa"/>
            <w:vAlign w:val="bottom"/>
            <w:gridSpan w:val="7"/>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Charter Communications, Inc. on December 9, 2024 (File No. 001-33664)).</w:t>
              </w:r>
            </w:hyperlink>
          </w:p>
        </w:tc>
        <w:tc>
          <w:tcPr>
            <w:tcW w:w="4200" w:type="dxa"/>
            <w:vAlign w:val="bottom"/>
            <w:tcBorders>
              <w:top w:val="single" w:sz="8" w:color="0000EE"/>
            </w:tcBorders>
            <w:gridSpan w:val="10"/>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Collateral Agreement, dated as of May 18, 2016, by Charter Communications Operating, LLC, Charter Communications Operating</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Capital Corp. and the other grantors party thereto in favor of The Bank of New York Mellon Trust Company, N.A., as collateral agent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(incorporated herein by reference to Exhibit 10.6 to the Current Report on Form 8-K filed by CCO Holdings, LLC on May 24, 2016</w:t>
              </w:r>
            </w:hyperlink>
          </w:p>
        </w:tc>
        <w:tc>
          <w:tcPr>
            <w:tcW w:w="260" w:type="dxa"/>
            <w:vAlign w:val="bottom"/>
            <w:gridSpan w:val="10"/>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(File No. 001-37789)).</w:t>
              </w:r>
            </w:hyperlink>
          </w:p>
        </w:tc>
        <w:tc>
          <w:tcPr>
            <w:tcW w:w="7860" w:type="dxa"/>
            <w:vAlign w:val="bottom"/>
            <w:tcBorders>
              <w:top w:val="single" w:sz="8" w:color="0000EE"/>
            </w:tcBorders>
            <w:gridSpan w:val="16"/>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10*</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First Lien Intercreditor Agreement, dated as of May 18, 2016, by and among Charter Communications Operating, LLC, the other</w:t>
              </w:r>
            </w:hyperlink>
          </w:p>
        </w:tc>
        <w:tc>
          <w:tcPr>
            <w:tcW w:w="580" w:type="dxa"/>
            <w:vAlign w:val="bottom"/>
            <w:gridSpan w:val="16"/>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grantors party thereto, Bank of America, N.A., as credit agreement collateral agent for the credit agreement secured parties, The Bank of</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New York Mellon Trust Company, N.A., as notes collateral agent for the indenture secured parties, and each additional agent from time</w:t>
              </w:r>
            </w:hyperlink>
          </w:p>
        </w:tc>
        <w:tc>
          <w:tcPr>
            <w:tcW w:w="4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to time party thereto (incorporated herein by reference to Exhibit 10.7 to the Current Report on Form 8-K filed by CCO Holdings, LLC</w:t>
              </w:r>
            </w:hyperlink>
          </w:p>
        </w:tc>
        <w:tc>
          <w:tcPr>
            <w:tcW w:w="12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on May 24, 2016 (File No. 001-37789)).</w:t>
              </w:r>
            </w:hyperlink>
          </w:p>
        </w:tc>
        <w:tc>
          <w:tcPr>
            <w:tcW w:w="6960" w:type="dxa"/>
            <w:vAlign w:val="bottom"/>
            <w:gridSpan w:val="2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Opinion of Kirkland &amp; Ellis LLP.</w:t>
              </w:r>
            </w:hyperlink>
          </w:p>
        </w:tc>
        <w:tc>
          <w:tcPr>
            <w:tcW w:w="7460" w:type="dxa"/>
            <w:vAlign w:val="bottom"/>
            <w:gridSpan w:val="25"/>
          </w:tcPr>
          <w:p>
            <w:pPr>
              <w:spacing w:after="0"/>
              <w:rPr>
                <w:sz w:val="24"/>
                <w:szCs w:val="24"/>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Exchange and Registration Rights Agreement, dated August 12, 2026, relating to the 7.087% Senior Secured Notes due 2038 and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7.</w:t>
              </w:r>
              <w:r>
                <w:rPr>
                  <w:rFonts w:ascii="Times New Roman" w:cs="Times New Roman" w:eastAsia="Times New Roman" w:hAnsi="Times New Roman"/>
                  <w:sz w:val="18"/>
                  <w:szCs w:val="18"/>
                  <w:u w:val="single" w:color="auto"/>
                  <w:color w:val="0000EE"/>
                  <w:w w:val="99"/>
                </w:rPr>
                <w:t>337%</w:t>
              </w:r>
              <w:r>
                <w:rPr>
                  <w:rFonts w:ascii="Times New Roman" w:cs="Times New Roman" w:eastAsia="Times New Roman" w:hAnsi="Times New Roman"/>
                  <w:sz w:val="18"/>
                  <w:szCs w:val="18"/>
                  <w:color w:val="0000EE"/>
                  <w:w w:val="99"/>
                </w:rPr>
                <w:t xml:space="preserve"> Senior Secured Notes due 2041, among Charter Communications Operating, LLC, Charter Communications Operating Capital</w:t>
              </w:r>
            </w:hyperlink>
          </w:p>
        </w:tc>
        <w:tc>
          <w:tcPr>
            <w:tcW w:w="14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Corp., the guarantors party thereto and the Dealer Managers (as defined therein). (incorporated by reference to Exhibit 4.5 to the Current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Report on Form 8-K filed by Charter Communications, Inc., CCO Holdings, LLC and CCO Holdings Capital Corp. on August 12,</w:t>
              </w:r>
            </w:hyperlink>
          </w:p>
        </w:tc>
        <w:tc>
          <w:tcPr>
            <w:tcW w:w="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gridSpan w:val="2"/>
          </w:tcPr>
          <w:p>
            <w:pPr>
              <w:ind w:left="220"/>
              <w:spacing w:after="0" w:line="196" w:lineRule="exact"/>
              <w:rPr>
                <w:rFonts w:ascii="Times New Roman" w:cs="Times New Roman" w:eastAsia="Times New Roman" w:hAnsi="Times New Roman"/>
                <w:sz w:val="18"/>
                <w:szCs w:val="18"/>
                <w:color w:val="0000EE"/>
                <w:w w:val="94"/>
              </w:rPr>
            </w:pPr>
            <w:hyperlink r:id="rId39">
              <w:r>
                <w:rPr>
                  <w:rFonts w:ascii="Times New Roman" w:cs="Times New Roman" w:eastAsia="Times New Roman" w:hAnsi="Times New Roman"/>
                  <w:sz w:val="18"/>
                  <w:szCs w:val="18"/>
                  <w:color w:val="0000EE"/>
                  <w:w w:val="94"/>
                </w:rPr>
                <w:t>2026).</w:t>
              </w:r>
            </w:hyperlink>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520" w:type="dxa"/>
            <w:vAlign w:val="bottom"/>
            <w:gridSpan w:val="4"/>
          </w:tcPr>
          <w:p>
            <w:pPr>
              <w:spacing w:after="0"/>
              <w:rPr>
                <w:rFonts w:ascii="Times New Roman" w:cs="Times New Roman" w:eastAsia="Times New Roman" w:hAnsi="Times New Roman"/>
                <w:sz w:val="18"/>
                <w:szCs w:val="18"/>
                <w:color w:val="0000EE"/>
                <w:w w:val="96"/>
              </w:rPr>
            </w:pPr>
            <w:hyperlink r:id="rId40">
              <w:r>
                <w:rPr>
                  <w:rFonts w:ascii="Times New Roman" w:cs="Times New Roman" w:eastAsia="Times New Roman" w:hAnsi="Times New Roman"/>
                  <w:sz w:val="18"/>
                  <w:szCs w:val="18"/>
                  <w:color w:val="0000EE"/>
                  <w:w w:val="96"/>
                </w:rPr>
                <w:t>21.</w:t>
              </w:r>
              <w:r>
                <w:rPr>
                  <w:rFonts w:ascii="Times New Roman" w:cs="Times New Roman" w:eastAsia="Times New Roman" w:hAnsi="Times New Roman"/>
                  <w:sz w:val="18"/>
                  <w:szCs w:val="18"/>
                  <w:u w:val="single" w:color="auto"/>
                  <w:color w:val="0000EE"/>
                  <w:w w:val="96"/>
                </w:rPr>
                <w:t>1**</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Subsidiaries of CCO Holdings, LLC.</w:t>
              </w:r>
            </w:hyperlink>
          </w:p>
        </w:tc>
      </w:tr>
      <w:tr>
        <w:trPr>
          <w:trHeight w:val="20"/>
        </w:trPr>
        <w:tc>
          <w:tcPr>
            <w:tcW w:w="4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520" w:type="dxa"/>
            <w:vAlign w:val="bottom"/>
            <w:gridSpan w:val="4"/>
          </w:tcPr>
          <w:p>
            <w:pPr>
              <w:spacing w:after="0"/>
              <w:rPr>
                <w:rFonts w:ascii="Times New Roman" w:cs="Times New Roman" w:eastAsia="Times New Roman" w:hAnsi="Times New Roman"/>
                <w:sz w:val="18"/>
                <w:szCs w:val="18"/>
                <w:color w:val="0000EE"/>
                <w:w w:val="96"/>
              </w:rPr>
            </w:pPr>
            <w:hyperlink r:id="rId41">
              <w:r>
                <w:rPr>
                  <w:rFonts w:ascii="Times New Roman" w:cs="Times New Roman" w:eastAsia="Times New Roman" w:hAnsi="Times New Roman"/>
                  <w:sz w:val="18"/>
                  <w:szCs w:val="18"/>
                  <w:color w:val="0000EE"/>
                  <w:w w:val="96"/>
                </w:rPr>
                <w:t>22.</w:t>
              </w:r>
              <w:r>
                <w:rPr>
                  <w:rFonts w:ascii="Times New Roman" w:cs="Times New Roman" w:eastAsia="Times New Roman" w:hAnsi="Times New Roman"/>
                  <w:sz w:val="18"/>
                  <w:szCs w:val="18"/>
                  <w:u w:val="single" w:color="auto"/>
                  <w:color w:val="0000EE"/>
                  <w:w w:val="96"/>
                </w:rPr>
                <w:t>1**</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Subsidiary Issuers and Subsidiary Guarantors of Guaranteed Securities.</w:t>
              </w:r>
            </w:hyperlink>
          </w:p>
        </w:tc>
      </w:tr>
      <w:tr>
        <w:trPr>
          <w:trHeight w:val="412"/>
        </w:trPr>
        <w:tc>
          <w:tcPr>
            <w:tcW w:w="5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r:id="rId38">
              <w:r>
                <w:rPr>
                  <w:rFonts w:ascii="Times New Roman" w:cs="Times New Roman" w:eastAsia="Times New Roman" w:hAnsi="Times New Roman"/>
                  <w:sz w:val="18"/>
                  <w:szCs w:val="18"/>
                  <w:color w:val="0000EE"/>
                  <w:w w:val="96"/>
                </w:rPr>
                <w:t>23.</w:t>
              </w:r>
              <w:r>
                <w:rPr>
                  <w:rFonts w:ascii="Times New Roman" w:cs="Times New Roman" w:eastAsia="Times New Roman" w:hAnsi="Times New Roman"/>
                  <w:sz w:val="18"/>
                  <w:szCs w:val="18"/>
                  <w:u w:val="single" w:color="auto"/>
                  <w:color w:val="0000EE"/>
                  <w:w w:val="96"/>
                </w:rPr>
                <w:t>1**</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Consent of Kirkland &amp; Ellis LLP (included in Exhibit 5.1).</w:t>
              </w:r>
            </w:hyperlink>
          </w:p>
        </w:tc>
        <w:tc>
          <w:tcPr>
            <w:tcW w:w="880" w:type="dxa"/>
            <w:vAlign w:val="bottom"/>
            <w:tcBorders>
              <w:top w:val="single" w:sz="8" w:color="0000EE"/>
            </w:tcBorders>
          </w:tcPr>
          <w:p>
            <w:pPr>
              <w:spacing w:after="0"/>
              <w:rPr>
                <w:sz w:val="24"/>
                <w:szCs w:val="24"/>
                <w:color w:val="auto"/>
              </w:rPr>
            </w:pPr>
          </w:p>
        </w:tc>
        <w:tc>
          <w:tcPr>
            <w:tcW w:w="4740" w:type="dxa"/>
            <w:vAlign w:val="bottom"/>
            <w:gridSpan w:val="20"/>
          </w:tcPr>
          <w:p>
            <w:pPr>
              <w:spacing w:after="0"/>
              <w:rPr>
                <w:sz w:val="24"/>
                <w:szCs w:val="24"/>
                <w:color w:val="auto"/>
              </w:rPr>
            </w:pPr>
          </w:p>
        </w:tc>
      </w:tr>
      <w:tr>
        <w:trPr>
          <w:trHeight w:val="412"/>
        </w:trPr>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7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Consent of KPMG LLP.</w:t>
            </w:r>
          </w:p>
        </w:tc>
        <w:tc>
          <w:tcPr>
            <w:tcW w:w="8140" w:type="dxa"/>
            <w:vAlign w:val="bottom"/>
            <w:gridSpan w:val="27"/>
          </w:tcPr>
          <w:p>
            <w:pPr>
              <w:spacing w:after="0"/>
              <w:rPr>
                <w:sz w:val="24"/>
                <w:szCs w:val="24"/>
                <w:color w:val="auto"/>
              </w:rPr>
            </w:pPr>
          </w:p>
        </w:tc>
      </w:tr>
      <w:tr>
        <w:trPr>
          <w:trHeight w:val="412"/>
        </w:trPr>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3†</w:t>
            </w:r>
          </w:p>
        </w:tc>
        <w:tc>
          <w:tcPr>
            <w:tcW w:w="7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w:t>
            </w:r>
          </w:p>
        </w:tc>
        <w:tc>
          <w:tcPr>
            <w:tcW w:w="7320" w:type="dxa"/>
            <w:vAlign w:val="bottom"/>
            <w:gridSpan w:val="24"/>
          </w:tcPr>
          <w:p>
            <w:pPr>
              <w:spacing w:after="0"/>
              <w:rPr>
                <w:sz w:val="24"/>
                <w:szCs w:val="24"/>
                <w:color w:val="auto"/>
              </w:rPr>
            </w:pPr>
          </w:p>
        </w:tc>
      </w:tr>
      <w:tr>
        <w:trPr>
          <w:trHeight w:val="412"/>
        </w:trPr>
        <w:tc>
          <w:tcPr>
            <w:tcW w:w="520" w:type="dxa"/>
            <w:vAlign w:val="bottom"/>
            <w:gridSpan w:val="4"/>
          </w:tcPr>
          <w:p>
            <w:pPr>
              <w:spacing w:after="0"/>
              <w:rPr>
                <w:rFonts w:ascii="Times New Roman" w:cs="Times New Roman" w:eastAsia="Times New Roman" w:hAnsi="Times New Roman"/>
                <w:sz w:val="18"/>
                <w:szCs w:val="18"/>
                <w:color w:val="0000EE"/>
                <w:w w:val="96"/>
              </w:rPr>
            </w:pPr>
            <w:hyperlink r:id="rId42">
              <w:r>
                <w:rPr>
                  <w:rFonts w:ascii="Times New Roman" w:cs="Times New Roman" w:eastAsia="Times New Roman" w:hAnsi="Times New Roman"/>
                  <w:sz w:val="18"/>
                  <w:szCs w:val="18"/>
                  <w:color w:val="0000EE"/>
                  <w:w w:val="96"/>
                </w:rPr>
                <w:t>24.</w:t>
              </w:r>
              <w:r>
                <w:rPr>
                  <w:rFonts w:ascii="Times New Roman" w:cs="Times New Roman" w:eastAsia="Times New Roman" w:hAnsi="Times New Roman"/>
                  <w:sz w:val="18"/>
                  <w:szCs w:val="18"/>
                  <w:u w:val="single" w:color="auto"/>
                  <w:color w:val="0000EE"/>
                  <w:w w:val="96"/>
                </w:rPr>
                <w:t>1**</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Power of Attorney (included on the signature pages of this Registration Statement).</w:t>
              </w:r>
            </w:hyperlink>
          </w:p>
        </w:tc>
      </w:tr>
      <w:tr>
        <w:trPr>
          <w:trHeight w:val="20"/>
        </w:trPr>
        <w:tc>
          <w:tcPr>
            <w:tcW w:w="4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880" w:type="dxa"/>
            <w:vAlign w:val="bottom"/>
            <w:gridSpan w:val="8"/>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5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r:id="rId43">
              <w:r>
                <w:rPr>
                  <w:rFonts w:ascii="Times New Roman" w:cs="Times New Roman" w:eastAsia="Times New Roman" w:hAnsi="Times New Roman"/>
                  <w:sz w:val="18"/>
                  <w:szCs w:val="18"/>
                  <w:color w:val="0000EE"/>
                  <w:w w:val="96"/>
                </w:rPr>
                <w:t>25.</w:t>
              </w:r>
              <w:r>
                <w:rPr>
                  <w:rFonts w:ascii="Times New Roman" w:cs="Times New Roman" w:eastAsia="Times New Roman" w:hAnsi="Times New Roman"/>
                  <w:sz w:val="18"/>
                  <w:szCs w:val="18"/>
                  <w:u w:val="single" w:color="auto"/>
                  <w:color w:val="0000EE"/>
                  <w:w w:val="96"/>
                </w:rPr>
                <w:t>1**</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Statement of Eligibility of The Bank of New York Mellon Trust Company, N.A. with respect to the indenture, dated as of July 23, 2015,</w:t>
              </w:r>
            </w:hyperlink>
          </w:p>
        </w:tc>
        <w:tc>
          <w:tcPr>
            <w:tcW w:w="8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1"/>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among Charter Communications Operating, LLC, Charter Communications Operating Capital Corp., as issuers, the guarantors party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thereto and The Bank of New York Mellon Trust Company, N.A., as trustee and collateral agent.</w:t>
              </w:r>
            </w:hyperlink>
          </w:p>
        </w:tc>
        <w:tc>
          <w:tcPr>
            <w:tcW w:w="360" w:type="dxa"/>
            <w:vAlign w:val="bottom"/>
            <w:gridSpan w:val="11"/>
          </w:tcPr>
          <w:p>
            <w:pPr>
              <w:spacing w:after="0"/>
              <w:rPr>
                <w:sz w:val="17"/>
                <w:szCs w:val="17"/>
                <w:color w:val="auto"/>
              </w:rPr>
            </w:pPr>
          </w:p>
        </w:tc>
      </w:tr>
      <w:tr>
        <w:trPr>
          <w:trHeight w:val="412"/>
        </w:trPr>
        <w:tc>
          <w:tcPr>
            <w:tcW w:w="520" w:type="dxa"/>
            <w:vAlign w:val="bottom"/>
            <w:gridSpan w:val="4"/>
          </w:tcPr>
          <w:p>
            <w:pPr>
              <w:spacing w:after="0"/>
              <w:rPr>
                <w:rFonts w:ascii="Times New Roman" w:cs="Times New Roman" w:eastAsia="Times New Roman" w:hAnsi="Times New Roman"/>
                <w:sz w:val="18"/>
                <w:szCs w:val="18"/>
                <w:color w:val="0000EE"/>
                <w:w w:val="96"/>
              </w:rPr>
            </w:pPr>
            <w:hyperlink r:id="rId44">
              <w:r>
                <w:rPr>
                  <w:rFonts w:ascii="Times New Roman" w:cs="Times New Roman" w:eastAsia="Times New Roman" w:hAnsi="Times New Roman"/>
                  <w:sz w:val="18"/>
                  <w:szCs w:val="18"/>
                  <w:color w:val="0000EE"/>
                  <w:w w:val="96"/>
                </w:rPr>
                <w:t>99.</w:t>
              </w:r>
              <w:r>
                <w:rPr>
                  <w:rFonts w:ascii="Times New Roman" w:cs="Times New Roman" w:eastAsia="Times New Roman" w:hAnsi="Times New Roman"/>
                  <w:sz w:val="18"/>
                  <w:szCs w:val="18"/>
                  <w:u w:val="single" w:color="auto"/>
                  <w:color w:val="0000EE"/>
                  <w:w w:val="96"/>
                </w:rPr>
                <w:t>1**</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Letter of Instruction.</w:t>
              </w:r>
            </w:hyperlink>
          </w:p>
        </w:tc>
        <w:tc>
          <w:tcPr>
            <w:tcW w:w="2940" w:type="dxa"/>
            <w:vAlign w:val="bottom"/>
            <w:gridSpan w:val="17"/>
          </w:tcPr>
          <w:p>
            <w:pPr>
              <w:spacing w:after="0"/>
              <w:rPr>
                <w:sz w:val="24"/>
                <w:szCs w:val="24"/>
                <w:color w:val="auto"/>
              </w:rPr>
            </w:pPr>
          </w:p>
        </w:tc>
      </w:tr>
      <w:tr>
        <w:trPr>
          <w:trHeight w:val="412"/>
        </w:trPr>
        <w:tc>
          <w:tcPr>
            <w:tcW w:w="4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r:id="rId45">
              <w:r>
                <w:rPr>
                  <w:rFonts w:ascii="Times New Roman" w:cs="Times New Roman" w:eastAsia="Times New Roman" w:hAnsi="Times New Roman"/>
                  <w:sz w:val="18"/>
                  <w:szCs w:val="18"/>
                  <w:color w:val="0000EE"/>
                  <w:w w:val="97"/>
                </w:rPr>
                <w:t>107**</w:t>
              </w:r>
            </w:hyperlink>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r:id="rId45">
              <w:r>
                <w:rPr>
                  <w:rFonts w:ascii="Times New Roman" w:cs="Times New Roman" w:eastAsia="Times New Roman" w:hAnsi="Times New Roman"/>
                  <w:sz w:val="18"/>
                  <w:szCs w:val="18"/>
                  <w:color w:val="0000EE"/>
                  <w:w w:val="97"/>
                </w:rPr>
                <w:t>Filing Fee Table.</w:t>
              </w:r>
            </w:hyperlink>
          </w:p>
        </w:tc>
        <w:tc>
          <w:tcPr>
            <w:tcW w:w="900" w:type="dxa"/>
            <w:vAlign w:val="bottom"/>
            <w:tcBorders>
              <w:top w:val="single" w:sz="8" w:color="0000EE"/>
            </w:tcBorders>
            <w:gridSpan w:val="3"/>
          </w:tcPr>
          <w:p>
            <w:pPr>
              <w:spacing w:after="0"/>
              <w:rPr>
                <w:sz w:val="24"/>
                <w:szCs w:val="24"/>
                <w:color w:val="auto"/>
              </w:rPr>
            </w:pPr>
          </w:p>
        </w:tc>
        <w:tc>
          <w:tcPr>
            <w:tcW w:w="7760" w:type="dxa"/>
            <w:vAlign w:val="bottom"/>
            <w:gridSpan w:val="2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Incorporated by reference and not filed herewith.</w:t>
      </w:r>
    </w:p>
    <w:p>
      <w:pPr>
        <w:spacing w:after="0" w:line="225" w:lineRule="exact"/>
        <w:rPr>
          <w:rFonts w:ascii="Times New Roman" w:cs="Times New Roman" w:eastAsia="Times New Roman" w:hAnsi="Times New Roman"/>
          <w:sz w:val="18"/>
          <w:szCs w:val="18"/>
          <w:color w:val="231F20"/>
        </w:rPr>
      </w:pPr>
    </w:p>
    <w:p>
      <w:pPr>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7"/>
          <w:szCs w:val="17"/>
          <w:color w:val="231F20"/>
        </w:rPr>
        <w:t>Previously filed.</w:t>
      </w:r>
    </w:p>
    <w:p>
      <w:pPr>
        <w:spacing w:after="0" w:line="225" w:lineRule="exact"/>
        <w:rPr>
          <w:rFonts w:ascii="Times New Roman" w:cs="Times New Roman" w:eastAsia="Times New Roman" w:hAnsi="Times New Roman"/>
          <w:sz w:val="18"/>
          <w:szCs w:val="18"/>
          <w:color w:val="231F20"/>
        </w:rPr>
      </w:pPr>
    </w:p>
    <w:p>
      <w:pPr>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7"/>
          <w:szCs w:val="17"/>
          <w:color w:val="231F20"/>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ind w:right="-359"/>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as amended, the registrants have duly caused this registration statement to be signed on their behalf by the undersigned, thereunto duly authorized, in the County of St. Louis, State of Missouri, on November 3,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CHARTER COMMUNICATIONS OPERATING,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Registrant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Kevin D. Howard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231F20"/>
        </w:rPr>
        <w:t>CHARTER COMMUNICATIONS OPERATING CAPITAL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Registrant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Kevin D. Howard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CCO HOLDINGS,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Registrant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Kevin D. Howard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EACH OF THE SUBSIDIARY GUARANTORS NAMED ON THE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TABLE OF SUBSIDIARY GUARANTORS (OTHER THAN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SPECTRUM MOBILE EQUIPMENT, LLC AND COX FLORIDA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TELCOM, L.P.)</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Registrant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Kevin D. Howard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SPECTRUM MOBILE EQUIPMENT,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Registrant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Jeffrey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Jeffrey B. Murphy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Senior Vice President, Corporate Finance and Development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COX FLORIDA TELCOM,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Registrant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Kevin D. Howard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900" w:right="699" w:bottom="1440" w:gutter="0" w:footer="0" w:header="0"/>
        </w:sectPr>
      </w:pPr>
    </w:p>
    <w:bookmarkStart w:id="7" w:name="page8"/>
    <w:bookmarkEnd w:id="7"/>
    <w:p>
      <w:pPr>
        <w:ind w:firstLine="324"/>
        <w:spacing w:after="0" w:line="266"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as amended, this registration statement has been signed by the following persons in the capacities and on the dates indicated below on behalf of each of Charter Communications Operating, LLC, CCO Holdings, LLC and each of the additional Registrant Guarantors named on the Table of Subsidiary Guarantors (other than Spectrum Mobile Equipment, LLC and Cox Florida Telcom, L.P.).</w:t>
      </w:r>
    </w:p>
    <w:p>
      <w:pPr>
        <w:spacing w:after="0" w:line="185" w:lineRule="exact"/>
        <w:rPr>
          <w:sz w:val="20"/>
          <w:szCs w:val="20"/>
          <w:color w:val="auto"/>
        </w:rPr>
      </w:pPr>
    </w:p>
    <w:p>
      <w:pPr>
        <w:ind w:left="1320"/>
        <w:spacing w:after="0"/>
        <w:tabs>
          <w:tab w:leader="none" w:pos="6000" w:val="left"/>
          <w:tab w:leader="none" w:pos="9920" w:val="left"/>
        </w:tabs>
        <w:rPr>
          <w:sz w:val="20"/>
          <w:szCs w:val="20"/>
          <w:color w:val="auto"/>
        </w:rPr>
      </w:pPr>
      <w:r>
        <w:rPr>
          <w:rFonts w:ascii="Times New Roman" w:cs="Times New Roman" w:eastAsia="Times New Roman" w:hAnsi="Times New Roman"/>
          <w:sz w:val="18"/>
          <w:szCs w:val="18"/>
          <w:b w:val="1"/>
          <w:bCs w:val="1"/>
          <w:color w:val="231F20"/>
        </w:rPr>
        <w:t>Signature</w:t>
      </w:r>
      <w:r>
        <w:rPr>
          <w:sz w:val="20"/>
          <w:szCs w:val="20"/>
          <w:color w:val="auto"/>
        </w:rPr>
        <w:tab/>
      </w:r>
      <w:r>
        <w:rPr>
          <w:rFonts w:ascii="Times New Roman" w:cs="Times New Roman" w:eastAsia="Times New Roman" w:hAnsi="Times New Roman"/>
          <w:sz w:val="18"/>
          <w:szCs w:val="18"/>
          <w:b w:val="1"/>
          <w:bCs w:val="1"/>
          <w:color w:val="231F20"/>
        </w:rPr>
        <w:t>Title</w:t>
      </w:r>
      <w:r>
        <w:rPr>
          <w:sz w:val="20"/>
          <w:szCs w:val="20"/>
          <w:color w:val="auto"/>
        </w:rPr>
        <w:tab/>
      </w:r>
      <w:r>
        <w:rPr>
          <w:rFonts w:ascii="Times New Roman" w:cs="Times New Roman" w:eastAsia="Times New Roman" w:hAnsi="Times New Roman"/>
          <w:sz w:val="18"/>
          <w:szCs w:val="18"/>
          <w:b w:val="1"/>
          <w:bCs w:val="1"/>
          <w:color w:val="231F2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53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231F20"/>
              </w:rPr>
              <w:t>President and Chief Executive Officer</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231F20"/>
                <w:w w:val="99"/>
              </w:rPr>
              <w:t>Christopher L. Winfrey</w:t>
            </w:r>
          </w:p>
        </w:tc>
        <w:tc>
          <w:tcPr>
            <w:tcW w:w="53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231F20"/>
                <w:w w:val="99"/>
              </w:rPr>
              <w:t>(Principal Executive Officer)</w:t>
            </w:r>
          </w:p>
        </w:tc>
        <w:tc>
          <w:tcPr>
            <w:tcW w:w="0" w:type="dxa"/>
            <w:vAlign w:val="bottom"/>
          </w:tcPr>
          <w:p>
            <w:pPr>
              <w:spacing w:after="0"/>
              <w:rPr>
                <w:sz w:val="1"/>
                <w:szCs w:val="1"/>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231F20"/>
                <w:w w:val="99"/>
              </w:rPr>
              <w:t>/s/ Kevin D. Howard</w:t>
            </w:r>
          </w:p>
        </w:tc>
        <w:tc>
          <w:tcPr>
            <w:tcW w:w="53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231F20"/>
                <w:w w:val="99"/>
              </w:rPr>
              <w:t>Executive Vice President, Interim Chief</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800" w:type="dxa"/>
            <w:vAlign w:val="bottom"/>
          </w:tcPr>
          <w:p>
            <w:pPr>
              <w:jc w:val="center"/>
              <w:ind w:right="470"/>
              <w:spacing w:after="0" w:line="177" w:lineRule="exact"/>
              <w:rPr>
                <w:sz w:val="20"/>
                <w:szCs w:val="20"/>
                <w:color w:val="auto"/>
              </w:rPr>
            </w:pPr>
            <w:r>
              <w:rPr>
                <w:rFonts w:ascii="Times New Roman" w:cs="Times New Roman" w:eastAsia="Times New Roman" w:hAnsi="Times New Roman"/>
                <w:sz w:val="18"/>
                <w:szCs w:val="18"/>
                <w:color w:val="231F20"/>
                <w:w w:val="99"/>
              </w:rPr>
              <w:t>Kevin D. Howard</w:t>
            </w:r>
          </w:p>
        </w:tc>
        <w:tc>
          <w:tcPr>
            <w:tcW w:w="5320" w:type="dxa"/>
            <w:vAlign w:val="bottom"/>
            <w:gridSpan w:val="2"/>
          </w:tcPr>
          <w:p>
            <w:pPr>
              <w:jc w:val="center"/>
              <w:ind w:left="230"/>
              <w:spacing w:after="0" w:line="177" w:lineRule="exact"/>
              <w:rPr>
                <w:sz w:val="20"/>
                <w:szCs w:val="20"/>
                <w:color w:val="auto"/>
              </w:rPr>
            </w:pPr>
            <w:r>
              <w:rPr>
                <w:rFonts w:ascii="Times New Roman" w:cs="Times New Roman" w:eastAsia="Times New Roman" w:hAnsi="Times New Roman"/>
                <w:sz w:val="18"/>
                <w:szCs w:val="18"/>
                <w:color w:val="231F20"/>
                <w:w w:val="99"/>
              </w:rPr>
              <w:t>Financial Officer, Chief Accounting Officer and Controller (Principal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3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231F20"/>
                <w:w w:val="99"/>
              </w:rPr>
              <w:t>Accounting Officer and Principal Financial Officer)</w:t>
            </w: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53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231F20"/>
                <w:w w:val="99"/>
              </w:rPr>
              <w:t>Manager of Charter Communications</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231F20"/>
                <w:w w:val="99"/>
              </w:rPr>
              <w:t>Charter Communications, Inc.</w:t>
            </w:r>
          </w:p>
        </w:tc>
        <w:tc>
          <w:tcPr>
            <w:tcW w:w="53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231F20"/>
              </w:rPr>
              <w:t>Operating, LLC</w:t>
            </w: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532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231F20"/>
                <w:w w:val="99"/>
              </w:rPr>
              <w:t>Manager of CCO Holdings, LLC</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231F20"/>
                <w:w w:val="99"/>
              </w:rPr>
              <w:t>Charter Communications, Inc.</w:t>
            </w:r>
          </w:p>
        </w:tc>
        <w:tc>
          <w:tcPr>
            <w:tcW w:w="5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5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231F20"/>
              </w:rPr>
              <w:t>Manager of each of the additional Registrant</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800" w:type="dxa"/>
            <w:vAlign w:val="bottom"/>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231F20"/>
                <w:w w:val="99"/>
              </w:rPr>
              <w:t>Charter Communications, Inc.</w:t>
            </w:r>
          </w:p>
        </w:tc>
        <w:tc>
          <w:tcPr>
            <w:tcW w:w="5320" w:type="dxa"/>
            <w:vAlign w:val="bottom"/>
            <w:gridSpan w:val="2"/>
          </w:tcPr>
          <w:p>
            <w:pPr>
              <w:jc w:val="center"/>
              <w:ind w:left="210"/>
              <w:spacing w:after="0" w:line="177" w:lineRule="exact"/>
              <w:rPr>
                <w:sz w:val="20"/>
                <w:szCs w:val="20"/>
                <w:color w:val="auto"/>
              </w:rPr>
            </w:pPr>
            <w:r>
              <w:rPr>
                <w:rFonts w:ascii="Times New Roman" w:cs="Times New Roman" w:eastAsia="Times New Roman" w:hAnsi="Times New Roman"/>
                <w:sz w:val="18"/>
                <w:szCs w:val="18"/>
                <w:color w:val="231F20"/>
                <w:w w:val="99"/>
              </w:rPr>
              <w:t>Guarantors named on the Table of Subsidiary Guarantors (other than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3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231F20"/>
                <w:w w:val="99"/>
              </w:rPr>
              <w:t>Spectrum Mobile Equipment, LLC and Cox Florida Telcom, L.P.)</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By:  /s/ Kevin D. Howard</w:t>
            </w:r>
          </w:p>
        </w:tc>
        <w:tc>
          <w:tcPr>
            <w:tcW w:w="2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28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231F20"/>
              </w:rPr>
              <w:t>Kevin D. Howard</w:t>
            </w:r>
          </w:p>
        </w:tc>
        <w:tc>
          <w:tcPr>
            <w:tcW w:w="2240" w:type="dxa"/>
            <w:vAlign w:val="bottom"/>
            <w:tcBorders>
              <w:top w:val="single" w:sz="8" w:color="auto"/>
            </w:tcBorders>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231F20"/>
              </w:rPr>
              <w:t>Attorney-in-Fact</w:t>
            </w:r>
          </w:p>
        </w:tc>
        <w:tc>
          <w:tcPr>
            <w:tcW w:w="2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1318" w:lineRule="exact"/>
        <w:rPr>
          <w:sz w:val="20"/>
          <w:szCs w:val="20"/>
          <w:color w:val="auto"/>
        </w:rPr>
      </w:pPr>
    </w:p>
    <w:p>
      <w:pPr>
        <w:sectPr>
          <w:pgSz w:w="11900" w:h="16838" w:orient="portrait"/>
          <w:cols w:equalWidth="0" w:num="2">
            <w:col w:w="8720" w:space="720"/>
            <w:col w:w="1720"/>
          </w:cols>
          <w:pgMar w:left="320" w:top="904"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231F20"/>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Kevin D. Howard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type w:val="continuous"/>
        </w:sectPr>
      </w:pPr>
    </w:p>
    <w:bookmarkStart w:id="8" w:name="page9"/>
    <w:bookmarkEnd w:id="8"/>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as amended, this registration statement has been signed by the following persons in the capacities and on the dates indicated below on behalf of Spectrum Mobile Equipment, LLC.</w:t>
      </w:r>
    </w:p>
    <w:p>
      <w:pPr>
        <w:sectPr>
          <w:pgSz w:w="11900" w:h="16838" w:orient="portrait"/>
          <w:cols w:equalWidth="0" w:num="1">
            <w:col w:w="11240"/>
          </w:cols>
          <w:pgMar w:left="320" w:top="904" w:right="339" w:bottom="144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231F20"/>
                <w:w w:val="98"/>
              </w:rPr>
              <w:t>Signature</w:t>
            </w:r>
          </w:p>
        </w:tc>
        <w:tc>
          <w:tcPr>
            <w:tcW w:w="24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231F20"/>
                <w:w w:val="99"/>
              </w:rPr>
              <w:t>Title</w:t>
            </w:r>
          </w:p>
        </w:tc>
        <w:tc>
          <w:tcPr>
            <w:tcW w:w="0" w:type="dxa"/>
            <w:vAlign w:val="bottom"/>
          </w:tcPr>
          <w:p>
            <w:pPr>
              <w:spacing w:after="0"/>
              <w:rPr>
                <w:sz w:val="1"/>
                <w:szCs w:val="1"/>
                <w:color w:val="auto"/>
              </w:rPr>
            </w:pPr>
          </w:p>
        </w:tc>
      </w:tr>
      <w:tr>
        <w:trPr>
          <w:trHeight w:val="426"/>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231F20"/>
              </w:rPr>
              <w:t>President</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231F20"/>
              </w:rPr>
              <w:t>Danny L. Bowman</w:t>
            </w:r>
          </w:p>
        </w:tc>
        <w:tc>
          <w:tcPr>
            <w:tcW w:w="240" w:type="dxa"/>
            <w:vAlign w:val="bottom"/>
          </w:tcPr>
          <w:p>
            <w:pPr>
              <w:spacing w:after="0"/>
              <w:rPr>
                <w:sz w:val="19"/>
                <w:szCs w:val="19"/>
                <w:color w:val="auto"/>
              </w:rPr>
            </w:pPr>
          </w:p>
        </w:tc>
        <w:tc>
          <w:tcPr>
            <w:tcW w:w="5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(Principal Executive Officer)</w:t>
            </w:r>
          </w:p>
        </w:tc>
        <w:tc>
          <w:tcPr>
            <w:tcW w:w="0" w:type="dxa"/>
            <w:vAlign w:val="bottom"/>
          </w:tcPr>
          <w:p>
            <w:pPr>
              <w:spacing w:after="0"/>
              <w:rPr>
                <w:sz w:val="1"/>
                <w:szCs w:val="1"/>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231F20"/>
                <w:w w:val="99"/>
              </w:rPr>
              <w:t>/s/ Jeffrey B. Murphy</w:t>
            </w:r>
          </w:p>
        </w:tc>
        <w:tc>
          <w:tcPr>
            <w:tcW w:w="240" w:type="dxa"/>
            <w:vAlign w:val="bottom"/>
          </w:tcPr>
          <w:p>
            <w:pPr>
              <w:spacing w:after="0"/>
              <w:rPr>
                <w:sz w:val="24"/>
                <w:szCs w:val="24"/>
                <w:color w:val="auto"/>
              </w:rPr>
            </w:pPr>
          </w:p>
        </w:tc>
        <w:tc>
          <w:tcPr>
            <w:tcW w:w="5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Senior Vice President, Corporate Finance</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231F20"/>
                <w:w w:val="98"/>
              </w:rPr>
              <w:t>Jeffrey B. Murphy</w:t>
            </w:r>
          </w:p>
        </w:tc>
        <w:tc>
          <w:tcPr>
            <w:tcW w:w="240" w:type="dxa"/>
            <w:vAlign w:val="bottom"/>
          </w:tcPr>
          <w:p>
            <w:pPr>
              <w:spacing w:after="0"/>
              <w:rPr>
                <w:sz w:val="19"/>
                <w:szCs w:val="19"/>
                <w:color w:val="auto"/>
              </w:rPr>
            </w:pPr>
          </w:p>
        </w:tc>
        <w:tc>
          <w:tcPr>
            <w:tcW w:w="5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and Development (Principal Financial Officer)</w:t>
            </w: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240" w:type="dxa"/>
            <w:vAlign w:val="bottom"/>
          </w:tcPr>
          <w:p>
            <w:pPr>
              <w:spacing w:after="0"/>
              <w:rPr>
                <w:sz w:val="24"/>
                <w:szCs w:val="24"/>
                <w:color w:val="auto"/>
              </w:rPr>
            </w:pPr>
          </w:p>
        </w:tc>
        <w:tc>
          <w:tcPr>
            <w:tcW w:w="5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Vice President, Risk Management and</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231F20"/>
                <w:w w:val="99"/>
              </w:rPr>
              <w:t>Jason Schlueter</w:t>
            </w:r>
          </w:p>
        </w:tc>
        <w:tc>
          <w:tcPr>
            <w:tcW w:w="240" w:type="dxa"/>
            <w:vAlign w:val="bottom"/>
          </w:tcPr>
          <w:p>
            <w:pPr>
              <w:spacing w:after="0"/>
              <w:rPr>
                <w:sz w:val="19"/>
                <w:szCs w:val="19"/>
                <w:color w:val="auto"/>
              </w:rPr>
            </w:pPr>
          </w:p>
        </w:tc>
        <w:tc>
          <w:tcPr>
            <w:tcW w:w="5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Treasury (Principal Accounting Officer)</w:t>
            </w: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240" w:type="dxa"/>
            <w:vAlign w:val="bottom"/>
          </w:tcPr>
          <w:p>
            <w:pPr>
              <w:spacing w:after="0"/>
              <w:rPr>
                <w:sz w:val="24"/>
                <w:szCs w:val="24"/>
                <w:color w:val="auto"/>
              </w:rPr>
            </w:pPr>
          </w:p>
        </w:tc>
        <w:tc>
          <w:tcPr>
            <w:tcW w:w="5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Manager of Spectrum Mobile Equipment, LLC</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231F20"/>
                <w:w w:val="99"/>
              </w:rPr>
              <w:t>Charter Communications, Inc.</w:t>
            </w:r>
          </w:p>
        </w:tc>
        <w:tc>
          <w:tcPr>
            <w:tcW w:w="240" w:type="dxa"/>
            <w:vAlign w:val="bottom"/>
          </w:tcPr>
          <w:p>
            <w:pPr>
              <w:spacing w:after="0"/>
              <w:rPr>
                <w:sz w:val="19"/>
                <w:szCs w:val="19"/>
                <w:color w:val="auto"/>
              </w:rPr>
            </w:pPr>
          </w:p>
        </w:tc>
        <w:tc>
          <w:tcPr>
            <w:tcW w:w="5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By:  /s/ Jeffrey B. Murphy</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28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231F20"/>
              </w:rPr>
              <w:t>Jeffrey B. Murphy</w:t>
            </w:r>
          </w:p>
        </w:tc>
        <w:tc>
          <w:tcPr>
            <w:tcW w:w="2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231F20"/>
              </w:rPr>
              <w:t>Attorney-in-Fact</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31F20"/>
        </w:rPr>
        <w:t>Kevin D. Howard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231F2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19685</wp:posOffset>
            </wp:positionV>
            <wp:extent cx="1423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November 3, 2026</w:t>
      </w:r>
    </w:p>
    <w:p>
      <w:pPr>
        <w:spacing w:after="0" w:line="2202" w:lineRule="exact"/>
        <w:rPr>
          <w:sz w:val="20"/>
          <w:szCs w:val="20"/>
          <w:color w:val="auto"/>
        </w:rPr>
      </w:pPr>
    </w:p>
    <w:p>
      <w:pPr>
        <w:sectPr>
          <w:pgSz w:w="11900" w:h="16838" w:orient="portrait"/>
          <w:cols w:equalWidth="0" w:num="2">
            <w:col w:w="8780" w:space="660"/>
            <w:col w:w="1800"/>
          </w:cols>
          <w:pgMar w:left="320" w:top="904"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as amended, this registration statement has been signed by the following persons in the capacities and on the dates indicated below on behalf of Cox Florida Telcom, L.P.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231F20"/>
                <w:w w:val="98"/>
              </w:rPr>
              <w:t>Signature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231F20"/>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Date</w:t>
            </w:r>
          </w:p>
        </w:tc>
        <w:tc>
          <w:tcPr>
            <w:tcW w:w="0" w:type="dxa"/>
            <w:vAlign w:val="bottom"/>
          </w:tcPr>
          <w:p>
            <w:pPr>
              <w:spacing w:after="0"/>
              <w:rPr>
                <w:sz w:val="1"/>
                <w:szCs w:val="1"/>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231F20"/>
                <w:w w:val="99"/>
              </w:rPr>
              <w:t>President and CEO</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November 3,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231F20"/>
                <w:w w:val="99"/>
              </w:rPr>
              <w:t>Christopher L. Winfrey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231F20"/>
                <w:w w:val="99"/>
              </w:rPr>
              <w:t>(Principal Executive Officer)</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31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231F20"/>
                <w:w w:val="99"/>
              </w:rPr>
              <w:t>/s/ Kevin D. Howard</w:t>
            </w:r>
          </w:p>
        </w:tc>
        <w:tc>
          <w:tcPr>
            <w:tcW w:w="52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231F20"/>
                <w:w w:val="99"/>
              </w:rPr>
              <w:t>Executive Vice President, Interim</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8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tcPr>
          <w:p>
            <w:pPr>
              <w:jc w:val="center"/>
              <w:ind w:right="470"/>
              <w:spacing w:after="0" w:line="177" w:lineRule="exact"/>
              <w:rPr>
                <w:sz w:val="20"/>
                <w:szCs w:val="20"/>
                <w:color w:val="auto"/>
              </w:rPr>
            </w:pPr>
            <w:r>
              <w:rPr>
                <w:rFonts w:ascii="Times New Roman" w:cs="Times New Roman" w:eastAsia="Times New Roman" w:hAnsi="Times New Roman"/>
                <w:sz w:val="18"/>
                <w:szCs w:val="18"/>
                <w:color w:val="231F20"/>
                <w:w w:val="99"/>
              </w:rPr>
              <w:t>Kevin D. Howard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40" w:type="dxa"/>
            <w:vAlign w:val="bottom"/>
            <w:gridSpan w:val="3"/>
          </w:tcPr>
          <w:p>
            <w:pPr>
              <w:jc w:val="center"/>
              <w:ind w:right="360"/>
              <w:spacing w:after="0" w:line="177" w:lineRule="exact"/>
              <w:rPr>
                <w:sz w:val="20"/>
                <w:szCs w:val="20"/>
                <w:color w:val="auto"/>
              </w:rPr>
            </w:pPr>
            <w:r>
              <w:rPr>
                <w:rFonts w:ascii="Times New Roman" w:cs="Times New Roman" w:eastAsia="Times New Roman" w:hAnsi="Times New Roman"/>
                <w:sz w:val="18"/>
                <w:szCs w:val="18"/>
                <w:color w:val="231F20"/>
                <w:w w:val="99"/>
              </w:rPr>
              <w:t>Chief Financial Officer, Chief Accounting Officer and Controller</w:t>
            </w:r>
          </w:p>
        </w:tc>
        <w:tc>
          <w:tcPr>
            <w:tcW w:w="2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231F20"/>
              </w:rPr>
              <w:t>November 3, 2026</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231F20"/>
                <w:w w:val="99"/>
              </w:rPr>
              <w:t>(Principal Accounting Officer and Principal Financial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color w:val="231F20"/>
                <w:w w:val="99"/>
              </w:rPr>
              <w:t>General Partner of Cox Florida Telcom, L.P.</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November 3,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231F20"/>
                <w:w w:val="99"/>
              </w:rPr>
              <w:t>CCI Corporate Services, LLC</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40" w:type="dxa"/>
            <w:vAlign w:val="bottom"/>
            <w:gridSpan w:val="3"/>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3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231F20"/>
              </w:rPr>
              <w:t>/s/ Kevin D. Howard</w:t>
            </w:r>
          </w:p>
        </w:tc>
        <w:tc>
          <w:tcPr>
            <w:tcW w:w="186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231F20"/>
              </w:rPr>
              <w:t>Kevin D. Howard</w:t>
            </w:r>
          </w:p>
        </w:tc>
        <w:tc>
          <w:tcPr>
            <w:tcW w:w="18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231F20"/>
              </w:rPr>
              <w:t>Attorney-in-Fact</w:t>
            </w:r>
          </w:p>
        </w:tc>
        <w:tc>
          <w:tcPr>
            <w:tcW w:w="1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Charter Communications, Inc., as Manager</w:t>
            </w:r>
          </w:p>
        </w:tc>
        <w:tc>
          <w:tcPr>
            <w:tcW w:w="18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3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231F20"/>
              </w:rPr>
              <w:t>/s/ Kevin D. Howard</w:t>
            </w:r>
          </w:p>
        </w:tc>
        <w:tc>
          <w:tcPr>
            <w:tcW w:w="186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231F20"/>
              </w:rPr>
              <w:t>Kevin D. Howard</w:t>
            </w:r>
          </w:p>
        </w:tc>
        <w:tc>
          <w:tcPr>
            <w:tcW w:w="18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2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231F20"/>
              </w:rPr>
              <w:t>Executive Vice President, Interim Chief Financial Officer, Chief</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231F20"/>
              </w:rPr>
              <w:t>Accounting Officer and Controller</w:t>
            </w:r>
          </w:p>
        </w:tc>
        <w:tc>
          <w:tcPr>
            <w:tcW w:w="1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as amended, this registration statement has been signed by the following persons in the capacities and on the dates indicated below on behalf of Charter Communications Operating Capital Corp.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231F20"/>
                <w:w w:val="98"/>
              </w:rPr>
              <w:t>Signature</w:t>
            </w:r>
          </w:p>
        </w:tc>
        <w:tc>
          <w:tcPr>
            <w:tcW w:w="24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231F20"/>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Date</w:t>
            </w: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231F20"/>
              </w:rPr>
              <w:t>President and Chief Executive Officer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November 3,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231F20"/>
                <w:w w:val="99"/>
              </w:rPr>
              <w:t>Christopher L. Winfrey</w:t>
            </w:r>
          </w:p>
        </w:tc>
        <w:tc>
          <w:tcPr>
            <w:tcW w:w="240" w:type="dxa"/>
            <w:vAlign w:val="bottom"/>
          </w:tcPr>
          <w:p>
            <w:pPr>
              <w:spacing w:after="0"/>
              <w:rPr>
                <w:sz w:val="19"/>
                <w:szCs w:val="19"/>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231F20"/>
                <w:w w:val="99"/>
              </w:rPr>
              <w:t>(Principal Executive Officer)</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231F20"/>
                <w:w w:val="99"/>
              </w:rPr>
              <w:t>/s/ Kevin D. Howard</w:t>
            </w:r>
          </w:p>
        </w:tc>
        <w:tc>
          <w:tcPr>
            <w:tcW w:w="240" w:type="dxa"/>
            <w:vAlign w:val="bottom"/>
          </w:tcPr>
          <w:p>
            <w:pPr>
              <w:spacing w:after="0"/>
              <w:rPr>
                <w:sz w:val="24"/>
                <w:szCs w:val="24"/>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231F20"/>
                <w:w w:val="99"/>
              </w:rPr>
              <w:t>Executive Vice President, Interim</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800" w:type="dxa"/>
            <w:vAlign w:val="bottom"/>
          </w:tcPr>
          <w:p>
            <w:pPr>
              <w:jc w:val="center"/>
              <w:ind w:right="470"/>
              <w:spacing w:after="0" w:line="177" w:lineRule="exact"/>
              <w:rPr>
                <w:sz w:val="20"/>
                <w:szCs w:val="20"/>
                <w:color w:val="auto"/>
              </w:rPr>
            </w:pPr>
            <w:r>
              <w:rPr>
                <w:rFonts w:ascii="Times New Roman" w:cs="Times New Roman" w:eastAsia="Times New Roman" w:hAnsi="Times New Roman"/>
                <w:sz w:val="18"/>
                <w:szCs w:val="18"/>
                <w:color w:val="231F20"/>
                <w:w w:val="99"/>
              </w:rPr>
              <w:t>Kevin D. Howard</w:t>
            </w:r>
          </w:p>
        </w:tc>
        <w:tc>
          <w:tcPr>
            <w:tcW w:w="240" w:type="dxa"/>
            <w:vAlign w:val="bottom"/>
          </w:tcPr>
          <w:p>
            <w:pPr>
              <w:spacing w:after="0"/>
              <w:rPr>
                <w:sz w:val="15"/>
                <w:szCs w:val="15"/>
                <w:color w:val="auto"/>
              </w:rPr>
            </w:pPr>
          </w:p>
        </w:tc>
        <w:tc>
          <w:tcPr>
            <w:tcW w:w="5380" w:type="dxa"/>
            <w:vAlign w:val="bottom"/>
            <w:gridSpan w:val="3"/>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231F20"/>
                <w:w w:val="99"/>
              </w:rPr>
              <w:t>Chief Financial Officer, Chief Accounting Officer and Controller</w:t>
            </w:r>
          </w:p>
        </w:tc>
        <w:tc>
          <w:tcPr>
            <w:tcW w:w="2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231F20"/>
              </w:rPr>
              <w:t>November 3, 2026</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231F20"/>
                <w:w w:val="99"/>
              </w:rPr>
              <w:t>(Principal Accounting Officer and Principal Financial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240" w:type="dxa"/>
            <w:vAlign w:val="bottom"/>
          </w:tcPr>
          <w:p>
            <w:pPr>
              <w:spacing w:after="0"/>
              <w:rPr>
                <w:sz w:val="24"/>
                <w:szCs w:val="24"/>
                <w:color w:val="auto"/>
              </w:rPr>
            </w:pPr>
          </w:p>
        </w:tc>
        <w:tc>
          <w:tcPr>
            <w:tcW w:w="5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231F20"/>
                <w:w w:val="99"/>
              </w:rPr>
              <w:t>Sole Director of Charter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November 3, 2026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231F20"/>
                <w:w w:val="98"/>
              </w:rPr>
              <w:t>Jeffrey B. Murphy</w:t>
            </w:r>
          </w:p>
        </w:tc>
        <w:tc>
          <w:tcPr>
            <w:tcW w:w="240" w:type="dxa"/>
            <w:vAlign w:val="bottom"/>
          </w:tcPr>
          <w:p>
            <w:pPr>
              <w:spacing w:after="0"/>
              <w:rPr>
                <w:sz w:val="19"/>
                <w:szCs w:val="19"/>
                <w:color w:val="auto"/>
              </w:rPr>
            </w:pPr>
          </w:p>
        </w:tc>
        <w:tc>
          <w:tcPr>
            <w:tcW w:w="5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231F20"/>
                <w:w w:val="99"/>
              </w:rPr>
              <w:t>Communications Operating Capital Corp.</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*By:   /s/ Kevin D. Howard</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28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231F20"/>
              </w:rPr>
              <w:t>Kevin D. Howard</w:t>
            </w:r>
          </w:p>
        </w:tc>
        <w:tc>
          <w:tcPr>
            <w:tcW w:w="2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231F20"/>
              </w:rPr>
              <w:t>Attorney-in-Fact</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3"/>
          </w:tcPr>
          <w:p>
            <w:pPr>
              <w:ind w:left="1860"/>
              <w:spacing w:after="0"/>
              <w:rPr>
                <w:sz w:val="20"/>
                <w:szCs w:val="20"/>
                <w:color w:val="auto"/>
              </w:rPr>
            </w:pPr>
            <w:r>
              <w:rPr>
                <w:rFonts w:ascii="Times New Roman" w:cs="Times New Roman" w:eastAsia="Times New Roman" w:hAnsi="Times New Roman"/>
                <w:sz w:val="18"/>
                <w:szCs w:val="18"/>
                <w:color w:val="auto"/>
              </w:rPr>
              <w:t>II-9</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11555" cy="46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1011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KPMG LLP Suite 900</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10 South Broadway</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St. Louis, MO 63102-1761</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January 29, 2026, with respect to the consolidated financial statements of CCO Holdings, LLC and subsidiaries, incorporated herein by reference,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114300</wp:posOffset>
            </wp:positionV>
            <wp:extent cx="113157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11315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7" w:lineRule="exact"/>
        <w:rPr>
          <w:sz w:val="20"/>
          <w:szCs w:val="20"/>
          <w:color w:val="auto"/>
        </w:rPr>
      </w:pPr>
    </w:p>
    <w:p>
      <w:pPr>
        <w:ind w:left="2260" w:right="2220"/>
        <w:spacing w:after="0" w:line="266" w:lineRule="auto"/>
        <w:rPr>
          <w:sz w:val="20"/>
          <w:szCs w:val="20"/>
          <w:color w:val="auto"/>
        </w:rPr>
      </w:pPr>
      <w:r>
        <w:rPr>
          <w:rFonts w:ascii="Times New Roman" w:cs="Times New Roman" w:eastAsia="Times New Roman" w:hAnsi="Times New Roman"/>
          <w:sz w:val="18"/>
          <w:szCs w:val="18"/>
          <w:color w:val="auto"/>
        </w:rPr>
        <w:t>KPMG LLP, a Delaware limited liability partnership, and its subsidiaries are part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2" w:name="page13"/>
    <w:bookmarkEnd w:id="12"/>
    <w:p>
      <w:pPr>
        <w:ind w:left="10260"/>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CONSENT OF INDEPENDENT AUDITORS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333-299574 on Form S-4 of Charter Communications Operating, LLC and Charter Communications Operating Capital Corp. (collectively “Charter”) of our report dated February 27, 2026, relating to the financial statements of Cox Communications, Inc. appearing in the Current Report on Form 8-K filed by Charter Communications, Inc. on July 23,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8" Type="http://schemas.openxmlformats.org/officeDocument/2006/relationships/image" Target="media/image15.png"/><Relationship Id="rId34"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jpeg"/><Relationship Id="rId63" Type="http://schemas.openxmlformats.org/officeDocument/2006/relationships/image" Target="media/image34.jpeg"/><Relationship Id="rId64" Type="http://schemas.openxmlformats.org/officeDocument/2006/relationships/image" Target="media/image35.png"/><Relationship Id="rId65" Type="http://schemas.openxmlformats.org/officeDocument/2006/relationships/image" Target="media/image36.png"/><Relationship Id="rId22" Type="http://schemas.openxmlformats.org/officeDocument/2006/relationships/hyperlink" Target="https://www.sec.gov/Archives/edgar/data/1091667/000109166715000177/exh41chtr723158k.htm" TargetMode="External"/><Relationship Id="rId23" Type="http://schemas.openxmlformats.org/officeDocument/2006/relationships/hyperlink" Target="https://www.sec.gov/Archives/edgar/data/1091667/000119312516600775/d198771dex41.htm" TargetMode="External"/><Relationship Id="rId24" Type="http://schemas.openxmlformats.org/officeDocument/2006/relationships/hyperlink" Target="https://www.sec.gov/Archives/edgar/data/1091667/000110465926094863/tm2622892d1_ex4-2.htm" TargetMode="External"/><Relationship Id="rId25" Type="http://schemas.openxmlformats.org/officeDocument/2006/relationships/hyperlink" Target="https://www.sec.gov/Archives/edgar/data/1091667/000110465926100328/tm2623853d1_ex4-3.htm" TargetMode="External"/><Relationship Id="rId26" Type="http://schemas.openxmlformats.org/officeDocument/2006/relationships/hyperlink" Target="https://www.sec.gov/Archives/edgar/data/1091667/000110465926100972/tm2623711d1_ex4-1.htm" TargetMode="External"/><Relationship Id="rId27" Type="http://schemas.openxmlformats.org/officeDocument/2006/relationships/hyperlink" Target="https://www.sec.gov/Archives/edgar/data/1091667/000109166719000085/chtr3312019exh-104.htm" TargetMode="External"/><Relationship Id="rId29" Type="http://schemas.openxmlformats.org/officeDocument/2006/relationships/hyperlink" Target="https://www.sec.gov/Archives/edgar/data/1091667/000110465919057853/tm1919719d8_ex10-2.htm" TargetMode="External"/><Relationship Id="rId30" Type="http://schemas.openxmlformats.org/officeDocument/2006/relationships/hyperlink" Target="https://www.sec.gov/Archives/edgar/data/1091667/000110465922067640/tm2217554d1_ex10-1.htm" TargetMode="External"/><Relationship Id="rId31" Type="http://schemas.openxmlformats.org/officeDocument/2006/relationships/hyperlink" Target="https://www.sec.gov/Archives/edgar/data/1091667/000110465923022811/tm236553d1_ex10-2.htm" TargetMode="External"/><Relationship Id="rId32" Type="http://schemas.openxmlformats.org/officeDocument/2006/relationships/hyperlink" Target="https://www.sec.gov/Archives/edgar/data/1091667/000110465923038343/tm2310675d1_ex10-1.htm" TargetMode="External"/><Relationship Id="rId33" Type="http://schemas.openxmlformats.org/officeDocument/2006/relationships/hyperlink" Target="https://www.sec.gov/Archives/edgar/data/1091667/000110465923125714/tm2332479d1_ex10-1.htm" TargetMode="External"/><Relationship Id="rId35" Type="http://schemas.openxmlformats.org/officeDocument/2006/relationships/hyperlink" Target="https://www.sec.gov/Archives/edgar/data/1091667/000110465924126817/tm2430518d1_ex10-1.htm" TargetMode="External"/><Relationship Id="rId36" Type="http://schemas.openxmlformats.org/officeDocument/2006/relationships/hyperlink" Target="https://www.sec.gov/Archives/edgar/data/1091667/000119312516600775/d198771dex106.htm" TargetMode="External"/><Relationship Id="rId37" Type="http://schemas.openxmlformats.org/officeDocument/2006/relationships/hyperlink" Target="https://www.sec.gov/Archives/edgar/data/1091667/000119312516600775/d198771dex107.htm" TargetMode="External"/><Relationship Id="rId38" Type="http://schemas.openxmlformats.org/officeDocument/2006/relationships/hyperlink" Target="https://www.sec.gov/Archives/edgar/data/893657/000110465926117882/tm2627891d2_ex5-1.htm" TargetMode="External"/><Relationship Id="rId39" Type="http://schemas.openxmlformats.org/officeDocument/2006/relationships/hyperlink" Target="https://www.sec.gov/Archives/edgar/data/1091667/000110465926094863/tm2622892d1_ex4-5.htm" TargetMode="External"/><Relationship Id="rId40" Type="http://schemas.openxmlformats.org/officeDocument/2006/relationships/hyperlink" Target="https://www.sec.gov/Archives/edgar/data/893657/000110465926117882/tm2627891d2_ex21-1.htm" TargetMode="External"/><Relationship Id="rId41" Type="http://schemas.openxmlformats.org/officeDocument/2006/relationships/hyperlink" Target="https://www.sec.gov/Archives/edgar/data/893657/000110465926117882/tm2627891d2_ex22-1.htm" TargetMode="External"/><Relationship Id="rId42" Type="http://schemas.openxmlformats.org/officeDocument/2006/relationships/hyperlink" Target="https://www.sec.gov/Archives/edgar/data/893657/000110465926117882/tm2627891-1_s4.htm#tPOA" TargetMode="External"/><Relationship Id="rId43" Type="http://schemas.openxmlformats.org/officeDocument/2006/relationships/hyperlink" Target="https://www.sec.gov/Archives/edgar/data/893657/000110465926117882/tm2627891d2_ex25-1.htm" TargetMode="External"/><Relationship Id="rId44" Type="http://schemas.openxmlformats.org/officeDocument/2006/relationships/hyperlink" Target="https://www.sec.gov/Archives/edgar/data/893657/000110465926117882/tm2627891d2_ex99-1.htm" TargetMode="External"/><Relationship Id="rId45" Type="http://schemas.openxmlformats.org/officeDocument/2006/relationships/hyperlink" Target="https://www.sec.gov/Archives/edgar/data/893657/000110465926117882/tm2627891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2026-11-03T16:01:43Z</dcterms:created>
  <dcterms:modified xsi:type="dcterms:W3CDTF">2026-11-03T16:01:43Z</dcterms:modified>
</cp:coreProperties>
</file>