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6203.xml.htm"/>
      <w:bookmarkStart w:id="1" w:name="kswkform4_17853562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Howard Kevin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CHARTER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EVP/CAO/Controller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901</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234</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July 27, 2026, under the Charter Communications, Inc. 2019 Stock Incentive Plan; 100% of the grant will vest on the third anniversary of the grant date, July 27, 2029.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July 27, 2026, under the Charter Communications, Inc. 2019 Stock Incentive Plan; 100% of the grant will vest on the third anniversary of the grant date, July 27,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D. Howard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9115"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3721</Characters>
  <CharactersWithSpaces>4325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