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40" w:lineRule="exact"/>
        <w:rPr>
          <w:sz w:val="24"/>
          <w:szCs w:val="24"/>
          <w:color w:val="auto"/>
        </w:rPr>
      </w:pPr>
    </w:p>
    <w:tbl>
      <w:tblPr>
        <w:tblLayout w:type="fixed"/>
        <w:tblInd w:w="16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328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473"/>
        </w:trPr>
        <w:tc>
          <w:tcPr>
            <w:tcW w:w="2900" w:type="dxa"/>
            <w:vAlign w:val="bottom"/>
          </w:tcPr>
          <w:p>
            <w:pPr>
              <w:spacing w:after="0"/>
              <w:rPr>
                <w:sz w:val="24"/>
                <w:szCs w:val="24"/>
                <w:color w:val="auto"/>
              </w:rPr>
            </w:pPr>
          </w:p>
        </w:tc>
        <w:tc>
          <w:tcPr>
            <w:tcW w:w="19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3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001-37789</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333-112593-01</w:t>
            </w:r>
          </w:p>
        </w:tc>
        <w:tc>
          <w:tcPr>
            <w:tcW w:w="46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374"/>
        </w:trPr>
        <w:tc>
          <w:tcPr>
            <w:tcW w:w="2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gridSpan w:val="5"/>
          </w:tcPr>
          <w:p>
            <w:pPr>
              <w:jc w:val="center"/>
              <w:ind w:right="4268"/>
              <w:spacing w:after="0"/>
              <w:rPr>
                <w:sz w:val="20"/>
                <w:szCs w:val="20"/>
                <w:color w:val="auto"/>
              </w:rPr>
            </w:pPr>
            <w:r>
              <w:rPr>
                <w:rFonts w:ascii="Times New Roman" w:cs="Times New Roman" w:eastAsia="Times New Roman" w:hAnsi="Times New Roman"/>
                <w:sz w:val="25"/>
                <w:szCs w:val="25"/>
                <w:b w:val="1"/>
                <w:bCs w:val="1"/>
                <w:color w:val="auto"/>
              </w:rPr>
              <w:t>CCO Holdings, LLC</w:t>
            </w:r>
          </w:p>
        </w:tc>
      </w:tr>
      <w:tr>
        <w:trPr>
          <w:trHeight w:val="20"/>
        </w:trPr>
        <w:tc>
          <w:tcPr>
            <w:tcW w:w="2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77"/>
        </w:trPr>
        <w:tc>
          <w:tcPr>
            <w:tcW w:w="2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40" w:type="dxa"/>
            <w:vAlign w:val="bottom"/>
            <w:tcBorders>
              <w:bottom w:val="single" w:sz="8" w:color="auto"/>
            </w:tcBorders>
            <w:gridSpan w:val="5"/>
          </w:tcPr>
          <w:p>
            <w:pPr>
              <w:jc w:val="center"/>
              <w:spacing w:after="0" w:line="277" w:lineRule="exact"/>
              <w:rPr>
                <w:sz w:val="20"/>
                <w:szCs w:val="20"/>
                <w:color w:val="auto"/>
              </w:rPr>
            </w:pPr>
            <w:r>
              <w:rPr>
                <w:rFonts w:ascii="Times New Roman" w:cs="Times New Roman" w:eastAsia="Times New Roman" w:hAnsi="Times New Roman"/>
                <w:sz w:val="25"/>
                <w:szCs w:val="25"/>
                <w:b w:val="1"/>
                <w:bCs w:val="1"/>
                <w:color w:val="auto"/>
              </w:rPr>
              <w:t>CCO Holdings Capital Corp.</w:t>
            </w:r>
          </w:p>
        </w:tc>
        <w:tc>
          <w:tcPr>
            <w:tcW w:w="3880" w:type="dxa"/>
            <w:vAlign w:val="bottom"/>
          </w:tcPr>
          <w:p>
            <w:pPr>
              <w:spacing w:after="0"/>
              <w:rPr>
                <w:sz w:val="24"/>
                <w:szCs w:val="24"/>
                <w:color w:val="auto"/>
              </w:rPr>
            </w:pPr>
          </w:p>
        </w:tc>
      </w:tr>
      <w:tr>
        <w:trPr>
          <w:trHeight w:val="213"/>
        </w:trPr>
        <w:tc>
          <w:tcPr>
            <w:tcW w:w="2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20" w:type="dxa"/>
            <w:vAlign w:val="bottom"/>
            <w:gridSpan w:val="6"/>
          </w:tcPr>
          <w:p>
            <w:pPr>
              <w:jc w:val="center"/>
              <w:ind w:right="382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216"/>
        </w:trPr>
        <w:tc>
          <w:tcPr>
            <w:tcW w:w="29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74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86-1067239</w:t>
            </w:r>
          </w:p>
        </w:tc>
      </w:tr>
      <w:tr>
        <w:trPr>
          <w:trHeight w:val="216"/>
        </w:trPr>
        <w:tc>
          <w:tcPr>
            <w:tcW w:w="29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740" w:type="dxa"/>
            <w:vAlign w:val="bottom"/>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20-0257904</w:t>
            </w:r>
          </w:p>
        </w:tc>
      </w:tr>
      <w:tr>
        <w:trPr>
          <w:trHeight w:val="23"/>
        </w:trPr>
        <w:tc>
          <w:tcPr>
            <w:tcW w:w="488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182"/>
        </w:trPr>
        <w:tc>
          <w:tcPr>
            <w:tcW w:w="4880" w:type="dxa"/>
            <w:vAlign w:val="bottom"/>
            <w:gridSpan w:val="4"/>
          </w:tcPr>
          <w:p>
            <w:pPr>
              <w:jc w:val="center"/>
              <w:ind w:right="99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1"/>
        </w:trPr>
        <w:tc>
          <w:tcPr>
            <w:tcW w:w="29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100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474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06902</w:t>
            </w:r>
          </w:p>
        </w:tc>
      </w:tr>
      <w:tr>
        <w:trPr>
          <w:trHeight w:val="37"/>
        </w:trPr>
        <w:tc>
          <w:tcPr>
            <w:tcW w:w="4880" w:type="dxa"/>
            <w:vAlign w:val="bottom"/>
            <w:tcBorders>
              <w:bottom w:val="single" w:sz="8" w:color="auto"/>
            </w:tcBorders>
            <w:gridSpan w:val="4"/>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182"/>
        </w:trPr>
        <w:tc>
          <w:tcPr>
            <w:tcW w:w="4880" w:type="dxa"/>
            <w:vAlign w:val="bottom"/>
            <w:gridSpan w:val="4"/>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tcPr>
          <w:p>
            <w:pPr>
              <w:jc w:val="center"/>
              <w:ind w:right="112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(203) 905-7801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 None</w:t>
      </w:r>
    </w:p>
    <w:p>
      <w:pPr>
        <w:spacing w:after="0" w:line="2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44"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66" w:lineRule="exact"/>
        <w:rPr>
          <w:sz w:val="24"/>
          <w:szCs w:val="24"/>
          <w:color w:val="auto"/>
        </w:rPr>
      </w:pPr>
    </w:p>
    <w:p>
      <w:pPr>
        <w:spacing w:after="0" w:line="196" w:lineRule="exact"/>
        <w:tabs>
          <w:tab w:leader="none" w:pos="1580" w:val="left"/>
          <w:tab w:leader="none" w:pos="2840" w:val="left"/>
          <w:tab w:leader="none" w:pos="4400" w:val="left"/>
          <w:tab w:leader="none" w:pos="63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jc w:val="both"/>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162"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93" w:lineRule="exact"/>
        <w:rPr>
          <w:sz w:val="24"/>
          <w:szCs w:val="24"/>
          <w:color w:val="auto"/>
        </w:rPr>
      </w:pPr>
    </w:p>
    <w:p>
      <w:pPr>
        <w:jc w:val="both"/>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All of the issued and outstanding shares of capital stock of CCO Holdings Capital Corp. are held by CCO Holdings, LLC. All of the limited liability company membership interests of CCO Holdings, LLC are held by CCH I Holdings, LLC (a subsidiary of Charter Communications, Inc., a reporting company under the Exchange Act). There is no public trading market for any of the aforementioned limited liability company membership interests or shares of capital stock.</w:t>
      </w:r>
    </w:p>
    <w:p>
      <w:pPr>
        <w:spacing w:after="0" w:line="19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CCO Holdings, LLC and CCO Holdings Capital Corp. meet the conditions set forth in General Instruction I(1)(a) and (b) to Form 10-K and are therefore filing with the reduced disclosure format.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of CCO Holdings Capital Corporation outstanding as of December 31, 2025: 1</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873760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CCO HOLDINGS,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CCO HOLDINGS CAPITAL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FOR THE YEAR ENDED DECEMBER 31,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680" w:type="dxa"/>
            <w:vAlign w:val="bottom"/>
            <w:gridSpan w:val="6"/>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94"/>
        </w:trPr>
        <w:tc>
          <w:tcPr>
            <w:tcW w:w="540" w:type="dxa"/>
            <w:vAlign w:val="bottom"/>
            <w:tcBorders>
              <w:bottom w:val="single" w:sz="8" w:color="0000FF"/>
            </w:tcBorders>
            <w:gridSpan w:val="2"/>
            <w:vMerge w:val="continue"/>
          </w:tcPr>
          <w:p>
            <w:pPr>
              <w:spacing w:after="0"/>
              <w:rPr>
                <w:sz w:val="16"/>
                <w:szCs w:val="16"/>
                <w:color w:val="auto"/>
              </w:rPr>
            </w:pPr>
          </w:p>
        </w:tc>
        <w:tc>
          <w:tcPr>
            <w:tcW w:w="680" w:type="dxa"/>
            <w:vAlign w:val="bottom"/>
            <w:gridSpan w:val="6"/>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760" w:type="dxa"/>
            <w:vAlign w:val="bottom"/>
            <w:gridSpan w:val="7"/>
          </w:tcPr>
          <w:p>
            <w:pPr>
              <w:spacing w:after="0"/>
              <w:rPr>
                <w:sz w:val="24"/>
                <w:szCs w:val="24"/>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660" w:type="dxa"/>
            <w:vAlign w:val="bottom"/>
            <w:gridSpan w:val="5"/>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14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660" w:type="dxa"/>
            <w:vAlign w:val="bottom"/>
            <w:gridSpan w:val="5"/>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600" w:type="dxa"/>
            <w:vAlign w:val="bottom"/>
            <w:gridSpan w:val="4"/>
          </w:tcPr>
          <w:p>
            <w:pPr>
              <w:spacing w:after="0"/>
              <w:rPr>
                <w:sz w:val="18"/>
                <w:szCs w:val="18"/>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040" w:type="dxa"/>
            <w:vAlign w:val="bottom"/>
            <w:gridSpan w:val="12"/>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760" w:type="dxa"/>
            <w:vAlign w:val="bottom"/>
            <w:gridSpan w:val="7"/>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320" w:type="dxa"/>
            <w:vAlign w:val="bottom"/>
            <w:gridSpan w:val="15"/>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760" w:type="dxa"/>
            <w:vAlign w:val="bottom"/>
            <w:gridSpan w:val="7"/>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760" w:type="dxa"/>
            <w:vAlign w:val="bottom"/>
            <w:gridSpan w:val="7"/>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760" w:type="dxa"/>
            <w:vAlign w:val="bottom"/>
            <w:gridSpan w:val="7"/>
          </w:tcPr>
          <w:p>
            <w:pPr>
              <w:spacing w:after="0"/>
              <w:rPr>
                <w:sz w:val="24"/>
                <w:szCs w:val="24"/>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760" w:type="dxa"/>
            <w:vAlign w:val="bottom"/>
            <w:gridSpan w:val="7"/>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1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7</w:t>
            </w:r>
          </w:p>
        </w:tc>
        <w:tc>
          <w:tcPr>
            <w:tcW w:w="100" w:type="dxa"/>
            <w:vAlign w:val="bottom"/>
            <w:gridSpan w:val="2"/>
          </w:tcPr>
          <w:p>
            <w:pPr>
              <w:spacing w:after="0"/>
              <w:rPr>
                <w:sz w:val="18"/>
                <w:szCs w:val="18"/>
                <w:color w:val="auto"/>
              </w:rPr>
            </w:pPr>
          </w:p>
        </w:tc>
        <w:tc>
          <w:tcPr>
            <w:tcW w:w="660" w:type="dxa"/>
            <w:vAlign w:val="bottom"/>
            <w:gridSpan w:val="5"/>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560" w:type="dxa"/>
            <w:vAlign w:val="bottom"/>
            <w:gridSpan w:val="3"/>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200" w:type="dxa"/>
            <w:vAlign w:val="bottom"/>
            <w:tcBorders>
              <w:top w:val="single" w:sz="8" w:color="0000FF"/>
            </w:tcBorders>
            <w:gridSpan w:val="4"/>
          </w:tcPr>
          <w:p>
            <w:pPr>
              <w:spacing w:after="0"/>
              <w:rPr>
                <w:sz w:val="18"/>
                <w:szCs w:val="18"/>
                <w:color w:val="auto"/>
              </w:rPr>
            </w:pPr>
          </w:p>
        </w:tc>
        <w:tc>
          <w:tcPr>
            <w:tcW w:w="560" w:type="dxa"/>
            <w:vAlign w:val="bottom"/>
            <w:gridSpan w:val="3"/>
          </w:tcPr>
          <w:p>
            <w:pPr>
              <w:spacing w:after="0"/>
              <w:rPr>
                <w:sz w:val="18"/>
                <w:szCs w:val="18"/>
                <w:color w:val="auto"/>
              </w:rPr>
            </w:pPr>
          </w:p>
        </w:tc>
        <w:tc>
          <w:tcPr>
            <w:tcW w:w="3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tcPr>
          <w:p>
            <w:pPr>
              <w:spacing w:after="0"/>
              <w:rPr>
                <w:sz w:val="18"/>
                <w:szCs w:val="18"/>
                <w:color w:val="auto"/>
              </w:rPr>
            </w:pPr>
          </w:p>
        </w:tc>
        <w:tc>
          <w:tcPr>
            <w:tcW w:w="37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760" w:type="dxa"/>
            <w:vAlign w:val="bottom"/>
            <w:gridSpan w:val="7"/>
          </w:tcPr>
          <w:p>
            <w:pPr>
              <w:spacing w:after="0"/>
              <w:rPr>
                <w:sz w:val="18"/>
                <w:szCs w:val="18"/>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66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28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66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5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660" w:type="dxa"/>
            <w:vAlign w:val="bottom"/>
            <w:gridSpan w:val="5"/>
          </w:tcPr>
          <w:p>
            <w:pPr>
              <w:spacing w:after="0"/>
              <w:rPr>
                <w:sz w:val="24"/>
                <w:szCs w:val="24"/>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100" w:type="dxa"/>
            <w:vAlign w:val="bottom"/>
            <w:tcBorders>
              <w:top w:val="single" w:sz="8" w:color="0000FF"/>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660" w:type="dxa"/>
            <w:vAlign w:val="bottom"/>
            <w:gridSpan w:val="5"/>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4"/>
          </w:tcPr>
          <w:p>
            <w:pPr>
              <w:spacing w:after="0"/>
              <w:rPr>
                <w:sz w:val="18"/>
                <w:szCs w:val="18"/>
                <w:color w:val="auto"/>
              </w:rPr>
            </w:pPr>
          </w:p>
        </w:tc>
        <w:tc>
          <w:tcPr>
            <w:tcW w:w="4900" w:type="dxa"/>
            <w:vAlign w:val="bottom"/>
            <w:gridSpan w:val="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2025. The United States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“CCO Holdings,” “we,” “us” and “our” refer to CCO Holdings, LLC and its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14"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ind w:left="340" w:hanging="332"/>
        <w:spacing w:after="0" w:line="249"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satisfy the conditions to consummate the Liberty Broadband Combination and/or the Cox Transactions and/or to consummate the Liberty Broadband Combination and/or the Cox Transactions in a timely manner or at all;</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being restricted in the operation of our business while the Liberty Broadband Merger Agreement and the Cox Communications Transaction Agreement are in effect;</w:t>
      </w: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Liberty Broadband Combination as described in the definitive joint proxy statement/prospectus with respect to the Liberty Broadband Combination, filed by Charter Communications, Inc. on January 22, 2025, including the sections entitled “Risk Factors” and “Where You Can Find More Information” included therein;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Cox Transactions as described in the definitive proxy statement with respect to the Cox Transactions, filed by Charter Communications, Inc. on July 2, 2025, including the sections entitled “Risk Factors” and “Where You Can Find More Information” included therein.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leading broadband connectivity company with services available to 58 million homes and small to large businesses across 41 states through our Spectrum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Mobile, TV and Voice products.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and Spectrum Management Holding Company, LLC.</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is focused on utilizing our fiber-powered network to deliver high-quality, competitively priced products, with outstanding service, allowing us to increase both the number of customers we serve over our network and the number of products we sell to each customer. This combination also reduces the number of service transactions we perform per relationship, yielding higher customer satisfaction and lower customer churn, which results in lower costs to acquire and serve customers and drives greater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offer Spectrum Internet products with speeds up to 1 gigabits per second (“Gbps”) across our entire footprint and multi-gigabit speeds in a portion of our footprint. We continue to upgrade our connectivity network, and we will offer symmetrical and multi-gigabit Internet speeds across our entire footprint in the next several years. Advanced WiFi, a managed WiFi service that provides customers an optimized home network while providing greater control of connected devices with enhanced security and privacy, is available to all of our Internet customers. Spectrum Mobile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to all new and existing Spectrum Internet customers and offers plans that include 5G access, do not require contracts and include taxes and fees in the price. We continue to innovate our video product and have transformed all of our affiliation agreements with major programmers. These new agreements give us greater overall packaging flexibility and the ability to include the ad-supported versions of key programmer streaming applications, at no extra cost, within our video packages, along with the ability to upgrade to ad-free versions and to sell those applications to customers a la carte for a seamless entertainment experience. Together with our Xumo Stream Boxes (“Xumo”), our goal is to deliver utility and value for our customers, irrespective of how they want to view content, and better and more stable economics for our programming partners and 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&amp; Packaging and Customer Commitments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fully deployed fiber-powered network offers ubiquitous and seamless connectivity products. It removes barriers and creates opportunities for customers, in every aspect of their lives. Our brand platform, Life Unlimited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emphasizes the power of our advanced network and cutting-edge connectivity products and services, and our simplified pricing strategy better utilizes our seamless connectivity and entertainment products to offer lower promotional and persistent bundled pricing to drive growth. Additionally, our customer commitments focus on reliable connectivity, transparency, exceptional service and always improving. Through reliable connectivity, we are committed to keeping our customers connected 100% of the time and promptly resolving issues. Transparency at every step means we provide clear and simple pricing and timely service updates, and we take responsibility when things go wrong. Through exceptional service, we provide exceptional customer experiences. And finally, always improving means we act on our customers' feedback to improve our products and customer service.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Evolution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product evolution plan continues to progress, with a clear path to delivering symmetrical and multi-gig speeds to customers across our footprint, meeting the needs of today and anticipating the growing demand for faster speeds for years to come. We continue to expand the capacity of our fiber-powered network using a number of technologies, including</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expansion, initially to 1.2 GHz and then to 1.8 GHz;</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bandwidth allocation to a "high split" to increase upstream speeds;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Access Architecture ("DAA"); and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 w:name="page6"/>
    <w:bookmarkEnd w:id="5"/>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DOCSIS 4.0 technology.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this process, which we expect to be largely complete by the end of 2027, we will transform our network to offer much faster Internet speeds. Those faster Internet speeds will be offered in conjunction with our Spectrum Mobile product and Advanced WiFi, providing customers seamless and convenient, ultra-fast converged connectivity in attractively priced packages.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in the beginning of 2022, we have spent $7.7 billion on our subsidized rural construction initiative and activated approximately 1.3 million passings. Rural footprint builds present strategic network expansion opportunities to deliver service to unserved and underserved passings. Our rural investments allow us to offer a suite of broadband connectivity services, including fixed Internet, WiFi and mobile to unserved areas in states where we currently operate. To accomplish all of this, we have invested in new construction teams and new equipment. These investments will allow us to generate long-term infrastructure-style returns by taking further advantage of our scale efficiencies, network quality and construction capabilities, while offering our high-quality products and services to more homes and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400 Washington Blvd., Stamford, Connecticut 06902. Our telephone number is (203) 905-7801, and Charter has a website accessible at ir.charter.com. Our Annual Reports on Form 10-K, Quarterly Reports on Form 10-Q and Current Reports on Form 8-K, and all amendments thereto, are available on Charter’s website free of charge as soon as reasonably practicable after they have been filed. The information posted on Charter’s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Entity Structure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 below sets forth our entity structure and that of our direct and indirect parents and subsidiaries. The chart does not include all of our affiliates and subsidiaries and, in some cases, we have combined separate entities for presentation purposes. The equity ownership percentages shown below for Charter Holdings are approximations. Indebtedness amounts shown below are principal amounts as of December 31, 2025. See Note 9 to the accompanying consolidated financial statements contained in “Part II.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-8255</wp:posOffset>
            </wp:positionV>
            <wp:extent cx="5220335" cy="682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20335" cy="68237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Footprint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geographically diverse areas which are managed centrally on a consolidated level. The map below highlights our footprint along with our planned rural expansion over the span of the initiative based on grants awarded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customers subscription-based Internet, mobile, video and voice services, with prices and related charges based on the types of service selected, whether the services are sold as a “bundle” or on an individual basis, and based on the equipment necessary to receive our services. Bundled services, including some combination of our Internet, mobile, video and/or voice products are available to substantially all of our passings.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better reflect the converged and integrated nature of our business and operations, in the fourth quarter of 2025, we revised our customer relationship statistics to include all mobile customers, including mobile-only customers, and have added information on total connectivity customers, which represent all customers receiving our Internet and/or mobile connectivity services. In addition, in the fourth quarter of 2025, certain reporting policies related to mobile lines were revised to better align with other Charter services. Other minor changes were made to small business Internet customers and mid-market</w:t>
      </w:r>
    </w:p>
    <w:p>
      <w:pPr>
        <w:spacing w:after="0" w:line="3" w:lineRule="exact"/>
        <w:rPr>
          <w:sz w:val="20"/>
          <w:szCs w:val="20"/>
          <w:color w:val="auto"/>
        </w:rPr>
      </w:pPr>
    </w:p>
    <w:p>
      <w:pPr>
        <w:ind w:left="5580" w:right="1600" w:hanging="5572"/>
        <w:spacing w:after="0" w:line="949" w:lineRule="auto"/>
        <w:tabs>
          <w:tab w:leader="none" w:pos="1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business primary service units (“PSUs”) to standardize reporting methodologies. Prior periods have been revised accordingly.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connectivity, Internet, mobile, video and voice as of December 31, 2025 and 2024 (in thousands except per customer data and footnotes).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00" w:type="dxa"/>
            <w:vAlign w:val="bottom"/>
          </w:tcPr>
          <w:p>
            <w:pPr>
              <w:spacing w:after="0"/>
              <w:rPr>
                <w:sz w:val="19"/>
                <w:szCs w:val="19"/>
                <w:color w:val="auto"/>
              </w:rPr>
            </w:pPr>
          </w:p>
        </w:tc>
        <w:tc>
          <w:tcPr>
            <w:tcW w:w="1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23"/>
                <w:szCs w:val="23"/>
                <w:b w:val="1"/>
                <w:bCs w:val="1"/>
                <w:color w:val="auto"/>
                <w:vertAlign w:val="superscript"/>
              </w:rPr>
              <w:t>(a)</w:t>
            </w:r>
          </w:p>
        </w:tc>
        <w:tc>
          <w:tcPr>
            <w:tcW w:w="500" w:type="dxa"/>
            <w:vAlign w:val="bottom"/>
          </w:tcPr>
          <w:p>
            <w:pPr>
              <w:spacing w:after="0"/>
              <w:rPr>
                <w:sz w:val="19"/>
                <w:szCs w:val="19"/>
                <w:color w:val="auto"/>
              </w:rPr>
            </w:pPr>
          </w:p>
        </w:tc>
        <w:tc>
          <w:tcPr>
            <w:tcW w:w="1000" w:type="dxa"/>
            <w:vAlign w:val="bottom"/>
          </w:tcPr>
          <w:p>
            <w:pPr>
              <w:jc w:val="right"/>
              <w:ind w:right="370"/>
              <w:spacing w:after="0" w:line="223" w:lineRule="exact"/>
              <w:rPr>
                <w:sz w:val="20"/>
                <w:szCs w:val="20"/>
                <w:color w:val="auto"/>
              </w:rPr>
            </w:pPr>
            <w:r>
              <w:rPr>
                <w:rFonts w:ascii="Times New Roman" w:cs="Times New Roman" w:eastAsia="Times New Roman" w:hAnsi="Times New Roman"/>
                <w:sz w:val="18"/>
                <w:szCs w:val="18"/>
                <w:b w:val="1"/>
                <w:bCs w:val="1"/>
                <w:color w:val="auto"/>
                <w:w w:val="88"/>
              </w:rPr>
              <w:t xml:space="preserve">2024 </w:t>
            </w:r>
            <w:r>
              <w:rPr>
                <w:rFonts w:ascii="Times New Roman" w:cs="Times New Roman" w:eastAsia="Times New Roman" w:hAnsi="Times New Roman"/>
                <w:sz w:val="23"/>
                <w:szCs w:val="23"/>
                <w:b w:val="1"/>
                <w:bCs w:val="1"/>
                <w:color w:val="auto"/>
                <w:w w:val="88"/>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gridSpan w:val="8"/>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8"/>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Small Business Revenue per Small Business Customer </w:t>
            </w:r>
            <w:r>
              <w:rPr>
                <w:rFonts w:ascii="Times New Roman" w:cs="Times New Roman" w:eastAsia="Times New Roman" w:hAnsi="Times New Roman"/>
                <w:sz w:val="23"/>
                <w:szCs w:val="23"/>
                <w:color w:val="auto"/>
                <w:vertAlign w:val="superscript"/>
              </w:rPr>
              <w:t>(d)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Connectivity</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Connectivity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Internet</w:t>
            </w:r>
          </w:p>
        </w:tc>
        <w:tc>
          <w:tcPr>
            <w:tcW w:w="7140" w:type="dxa"/>
            <w:vAlign w:val="bottom"/>
            <w:tcBorders>
              <w:bottom w:val="single" w:sz="8" w:color="CCEEFF"/>
            </w:tcBorders>
            <w:gridSpan w:val="5"/>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8"/>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8"/>
          </w:tcPr>
          <w:p>
            <w:pPr>
              <w:ind w:left="200"/>
              <w:spacing w:after="0"/>
              <w:rPr>
                <w:sz w:val="20"/>
                <w:szCs w:val="20"/>
                <w:color w:val="auto"/>
              </w:rPr>
            </w:pPr>
            <w:r>
              <w:rPr>
                <w:rFonts w:ascii="Times New Roman" w:cs="Times New Roman" w:eastAsia="Times New Roman" w:hAnsi="Times New Roman"/>
                <w:sz w:val="18"/>
                <w:szCs w:val="18"/>
                <w:color w:val="auto"/>
              </w:rPr>
              <w:t>Small Business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Mid-Market &amp; Large Business PSUs </w:t>
            </w:r>
            <w:r>
              <w:rPr>
                <w:rFonts w:ascii="Times New Roman" w:cs="Times New Roman" w:eastAsia="Times New Roman" w:hAnsi="Times New Roman"/>
                <w:sz w:val="21"/>
                <w:szCs w:val="21"/>
                <w:b w:val="1"/>
                <w:bCs w:val="1"/>
                <w:color w:val="auto"/>
                <w:vertAlign w:val="superscript"/>
              </w:rPr>
              <w:t>(f)</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in accordance with our collection policies. On that basis, as of December 31, 2025 and 2024, customers include approximately 82,300 and 102,500 customers, respectively, whose accounts were over 60 days past due, approximately 9,700 and 12,100 customers, respectively, whose accounts were over 90 days past due, and approximately 13,600 and 13,600 customers, respectively, whose accounts were over 120 days past due.</w:t>
      </w:r>
    </w:p>
    <w:p>
      <w:pPr>
        <w:jc w:val="both"/>
        <w:ind w:left="340" w:hanging="332"/>
        <w:spacing w:after="0" w:line="234"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w:t>
      </w:r>
    </w:p>
    <w:p>
      <w:pPr>
        <w:ind w:left="340" w:hanging="332"/>
        <w:spacing w:after="0" w:line="219"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annual revenue divided by twelve divided by average residential customer relationships during the respective year.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left="340" w:right="20" w:hanging="332"/>
        <w:spacing w:after="0" w:line="229"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small business revenue per small business customer is calculated as total small business annual revenue divided by twelve divided by average small business customer relationships during the respective year.</w:t>
      </w:r>
    </w:p>
    <w:p>
      <w:pPr>
        <w:ind w:left="340" w:hanging="332"/>
        <w:spacing w:after="0" w:line="219" w:lineRule="auto"/>
        <w:tabs>
          <w:tab w:leader="none" w:pos="33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Mid-market &amp; large business PSUs represent the aggregate number of fiber service offerings counting each separate service offering at each customer location as an individual PSU.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with a suite of broadband connectivity services, including fixed Internet, WiFi and mobile, which when bundled together provides our customers with a differentiated converged connectivity experience while saving consumers money.</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offer Spectrum Internet products with speeds up to 1 Gbps across our entire footprint and multi-gigabit speeds in a portion of our footprint. We continue to upgrade our connectivity network, and we will offer symmetrical and multi-gigabit Internet speeds across our entire footprint in the next several years. Spectrum Internet bundled with our in-home Advanced WiFi allows multiple people within a single household to stream high definition 4K video content while simultaneously using our Internet service for other purposes including two-way video conferencing, gaming and virtual reality, among other things.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in-home WiFi product provides our Internet customers with high performance wireless routers and a managed WiFi service to maximize their wireless Internet experience. We offer Advanced WiFi service across all of our footprint along with WiFi 7 routers capable of delivering multi-gigabit speeds wirelessly. With Advanced WiFi, customers enjoy a cloud-optimized WiFi connection and have the ability to view and control their WiFi network through our Spectrum app (“My Spectrum® App”). The service enables parental control schedules and Spectrum Security Shield which is automatically enabled and protects all devices in the home using network-based security. In early 2026, we will launch our Invincible WiFi™ product, a tri-band advanced WiFi 7 router that integrates 5G cellular and battery backup to keep customers seamlessly and fully connected during service disruption or a power outage. Customers also have the option to add Spectrum WiFi extenders to Advanced WiFi and we recently launched WiFi 7 extenders that enable multi-gigabit speeds to reach larger spaces.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the capabilities of the Advanced WiFi service to MDUs as Advanced Community WiFi (“ACW”). With ACW, tenants receive the same visibility and control over their apartment’s WiFi networks through the My Spectrum App, while building managers are able to see and manage the entire building’s network through a purpose-built property service portal. We also offer Spectrum Ready pre-installed connectivity services to MDUs and single-family communities, which allows customers to set up Spectrum Internet with Advanced WiFi and video services in their home without ordering equipment or scheduling installation through permanent WiFi routers already installed in the property. New residents simply scan a QR code and confirm services through a new or existing Spectrum account.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Spectrum Mobile service is offered to customers subscribing to our Internet service and uses the customers’ private WiFi, our Spectrum Mobile network (comprised of 49 million out-of-home WiFi access points across our footprint combined with out-of-home WiFi access points from other networks with which we partner) as well as leveraging the cellular network of Verizon Communications Inc. ("Verizon"). We leverage the Verizon cellular network to provide nationwide coverage including unlimited calls, text and data using Verizon’s fourth generation and fifth generation (“5G”) service including their latest 5G technology. Spectrum Mobile also uses Verizon’s international roaming partner network to ensure customers have coverage around the globe. In addition, in July 2025, we entered into a multi-year agreement with T-Mobile US, Inc. (“T-Mobile”) to use their network to deliver mobile services to Spectrum Business customers which is set to launch in 2026.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improve the customer experience and integrate our mobile and fixed Internet products with enhancements such as Spectrum Mobile Speed Boost (“Speed Boost”). Customers are eligible for Speed Boost if they have both Spectrum Mobile and Spectrum Internet, a DOCSIS 3.1 modem and an Advanced WiFi router. When connected on their Spectrum Mobile device through Advanced WiFi service, customers are now experiencing the fastest overall speeds up to 1 Gbps.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wireline voice communications services using voice over Internet protocol (“VoIP”) technology to transmit digital voice signals over our network. Our voice services include unlimited local and long distance calling to the United States, Canada, Mexico and Puerto Rico, voicemail, call waiting, caller ID, call forwarding and other features and offers international calling either by the minute, or through packages of minutes per month. We also offer Call Guard, an advanced caller ID and robocall blocking solution, for our residential and small business voice customers. Call Guard reduces customer frustration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improves security by blocking malicious calls while ensuring our customers continue to receive the legitimate automated calls they need from schools or healthcare providers.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our customers with a choice of video programming services on a variety of platforms and through a variety of programming packages with approximately 375 channels available in home and out of home allowing our customers to access the programming they want, when they want it, on any device. We have completed deals with major programmers to deliver better flexibility and greater value to our customers by including seamless entertainment applications with certain of our Spectrum TV packages at no additional cost. In July 2025, we began launching the sale of these seamless entertainment applications to customers on an à la carte basis and in October 2025, launched the Spectrum App Store, a digital storefront that helps customers activate, upgrade, buy and manage their streaming applications in one place.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deploy our Xumo stream boxes to new video customers. Xumo combines a live TV experience with access to hundreds of content applications and features unified search and discovery along with a curated content offering based on the customer's interests and subscriptions. Combined with our Spectrum TV app, Xumo is now our preferred go-to-market platform for new video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increasingly accessing their subscription video content through our highly rated Spectrum TV app via mobile devices and connected Internet Protocol (“IP”) devices, such as Xumo, Apple TV, Roku, Vizio, LG and Samsung TV. Access to the Spectrum TV app is included in all Spectrum TV video plans. The Spectrum TV app allows users to stream content across a growing number of platforms as well as access their full TV lineup and watch on demand content. It also supports DVR functionality through our cloud DVR offering.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video service also includes access to an interactive programming guide with parental controls, video on demand (“VOD”) and pay-per-view services. VOD service allows customers to select from approximately 100,000 titles at any time. VOD programming options may be accessed at no additional cost if the content is associated with a customer’s linear subscription, or for a fee on a transactional basis. VOD services are also offered on a subscription basis, included in a digital tier premium channel subscription, or for a monthly fee. Pay-per-view channels allow customers with a set-top box to pay on a per-event basis to view a single showing of a one-time special sporting event, music concert, or similar event on a commercial-free basis. We also offer digital video recorder (“DVR”) service that enables customers to digitally record programming and to pause and rewind live programming. Our cloud DVR service allows customers to schedule, record and watch their favorite programming anytime from the Spectrum TV app as well as SpectrumTV.com.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scalable broadband communications solutions for businesses and carrier organizations of all sizes, selling Internet access, data networking, fiber connectivity to cellular towers and office buildings, video entertainment services and business telephone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Spectrum Business offers Internet, mobile, video and voice services to small businesses over our fiber-powered network. We also offer Advanced WiFi service to small businesses, which leverages the residential platform features, including Security Shield, with features specific to businesses such as a guest network through a service set identifier (“SSID”). Spectrum Business includes a full range of video programming and offers Internet speeds up to 1 Gbps across our entire footprint. Spectrum Business also includes a set of business services including static IP and business WiFi, e-mail and security, and voice services through either a traditional voice offering or hosted voice solution. Spectrum Business Connect is a small business communications solution that includes Spectrum Internet, voice and complementary mobility features allowing our customers’ remote and office employees to stay more easily connected regardless of their location. We also offer Wireless Internet Backup to our small business customers which is designed to enhance and protect Internet service for small businesses in the event of a network disruption.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Mid-Market &amp; Large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Spectrum Business for mid-market &amp; large businesses offers tailored connectivity, communications and managed service solutions over a high-capacity last-mile network with speeds up to 100 Gbps to large businesses and government entities (local, state and federal), in addition to wholesale services to mobile and wireline carriers. The Spectrum Business product portfolio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for mid-market &amp; large businesses includes connectivity services such as Internet Access (fiber, coax and wireless delivered); Wide Area Network (“WAN”) services (Ethernet, Software Defined (“SD”)-WAN and cloud connectivity) that privately and securely connect geographically dispersed customer locations and cloud service providers; and Managed Service solutions which address a wide range of enterprise networking (e.g. routing, Local Area Network (“LAN”), WiFi) and security (e.g. firewall, Distributed Denial of Service (“DDoS”) protection) challenges. To meet the communications needs of these more sophisticated customers, Spectrum Business also offers an array of voice trunking services and unified messaging, communications and collaboration products. We offer Unified Communications services integrated with our connectivity and managed services to give customers more choices for enhancing their digital experience across locations and devices. In addition, Spectrum Business offers a wide range of video solutions targeting unique needs of customers across multiple industries with a specific focus on hospitality, healthcare, government and education. Spectrum Business serves mid-market &amp; large businesses nationally by combining its large serviceable footprint with a robust portfolio of fiber lit buildings and a significant wholesale partner network. As a result, these customers benefit by obtaining advanced solutions from a single provider who is committed to an exceptional customer experience and who delivers compelling value by simplifying procurement and offering competitive pricing potentially reducing our customers'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advertising sales division, Spectrum Reach, offers local, regional and national businesses the opportunity to advertise in individual and multiple service areas on cable television networks, various streaming services and numerous advanced advertising platforms. We receive revenues from the sale of local advertising across various platforms for networks such as TBS, CNN and ESPN. We insert local advertising on up to 100 channels in over 90 markets and on multiple streaming services and free advertising-supported streaming television (“FAST”) channels including Amazon, Xumo and others. Our large footprint provides opportunities for advertising customers to address broader regional audiences from a single provider and thus reach more customers with a single transaction. Our size also provides scale to invest in new technology to create more targeted and addressable advertising capabilities.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advertising time is generally sold by our advertising sales force. In some service areas, we have formed advertising interconnects or entered into representation agreements with other video distributors, including, among others, Verizon, DirecTV and Comcast, under which we sell advertising on behalf of those operators. In other service areas, we enter into representation agreements under which another operator in the area will sell advertising on our behalf. These arrangements enable us and our partners to represent and deliver commercials on their inventory across wider geographic areas, replicating the reach of local broadcast television stations to the extent possible. In addition, we enter into interconnect agreements from time to time with other cable operators, which, on behalf of a number of video operators, sell advertising time to national and regional advertisers in individual or multiple service areas.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sell the advertising inventory of our owned and operated local sports and news channels, of our regional sports networks that carry Los Angeles Lakers’ basketball games and other sports programming and of SportsNet LA, a regional sports network that carries Los Angeles Dodgers’ baseball games and other sports programming.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other multichannel video programming distributors (“MVPDs”), Spectrum Reach enables multi-channel cable networks (e.g. AMC, Univision) to deploy household addressability on their own inventory in our footprint, charging them an enablement fee. We have a proprietary platform that uses set-top box viewership data (all anonymized and aggregated) to create data-driven linear TV campaigns for local advertisers. Spectrum Reach also offers a programmatic sales platform allowing advertising agencies and advertisers to buy inventory in a fully automated way. Streaming TV, which is largely comprised of Spectrum TV app impressions, as well as those from numerous over-the-top streaming content providers, is part of our suite of advanced advertising products available to the marketplace. Additionally, Spectrum Reach purchases third-party inventory in our markets when needed. Spectrum Reach is also now employing multi-screen deterministic attribution services for television and streaming services that lets advertisers know the effectiveness of their advertising on Spectrum Reach’s platform.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Sports Networks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agreement with the Los Angeles Lakers for rights to distribute all locally available Los Angeles Lakers’ games through 2032. We broadcast those games on our regional sports network, Spectrum SportsNet. American Media Productions, LLC ("American Media Productions"), an unaffiliated third party, owns SportsNet LA, a regional sports network carrying the Los Angeles Dodgers’ baseball games and other sports programming. In accordance with agreements with American Media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Productions, we act as the network’s exclusive affiliate and advertising sales representative and have certain branding and programming rights with respect to the network. In addition, we provide certain production and technical services to American Media Productions. The affiliate, advertising, production and programming agreements continue through 2038. We also own 35.0% of Sterling Entertainment Enterprises, LLC (doing business as SportsNet New York), a New York City-based regional sports network that carries New York Mets’ baseball games as well as other regional sports programming.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Channels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and manage over 35 local news channels, including Spectrum News NY1® and Spectrum News SoCal, 24-hour news channels focused on New York City and Los Angeles, respectively. Our local news channels connect the diverse communities and neighborhoods we serve providing 24/7 news, weather and community content focused on hyperlocal stories that address the deeper needs and interests of our customers. Customers can also read, watch and listen to news stories by our Spectrum News journalists and local partner publications on their mobile device on our Spectrum News application and certain smart TVs and streaming devices. In 2025, we entered into an agreement with Comcast to expand distribution of Spectrum News to their video customers in California, Connecticut, northern New Jersey, Orlando and Tampa.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Solutions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Spectrum Community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(“SCS”) delivers broadband connectivity solutions to apartments, single-family gated communities, off-campus student housing, senior residences and RV parks. Services offered by SCS include Internet speeds up to 2 Gbps, property-wide WiFi coverage, Spectrum Ready pre-installed connectivity services and traditional or streaming video packages. SCS delivers these services to our properties via our fiber-powered network and through either bulk or retail marketing and right-of-entry agreements. Our SCS bulk customers are serviced by dedicated contact centers. SCS also manages our relationships with third-party resellers of Spectrum services to MDUs.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Our Products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the monthly fees customers pay for the services we provide. We typically charge a one-time installation fee which is sometimes waived or discounted in certain sales channels during certain promotional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Spectrum pricing and packaging generally offers a standardized price across our services with bundle options designed to drive more value into a package to fit the customer need. We believe Spectrum pricing and packaging:</w:t>
      </w:r>
    </w:p>
    <w:p>
      <w:pPr>
        <w:spacing w:after="0" w:line="189" w:lineRule="exact"/>
        <w:rPr>
          <w:sz w:val="20"/>
          <w:szCs w:val="20"/>
          <w:color w:val="auto"/>
        </w:rPr>
      </w:pPr>
    </w:p>
    <w:p>
      <w:pPr>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higher quality and more value-based set of services relative to our competitors, including fast Internet speeds, with integrated mobile and video options and a transparent pricing structure;</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simplicity for customers to understand our offers, and for our employees in service delivery;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our ability to package more services at the time of sale, thus increasing revenue per customer;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higher customer satisfaction, lower service calls and churn;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gradual price increases at the end of promotional periods.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specialized offerings to enhance affordability of our Internet product for qualified low-income households, including Spectrum Internet Assist, a 50 megabits per second ("Mbps") service, and Internet Advantage, a 100 Mbps service. Both are low cost and include a modem for no additional charge.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bundle options utilize our unique product assets with multi-year guaranteed pricing and speed options that create more choices and provide faster speeds. Our Internet and mobile product bundles provide a differentiated connectivity experience by bringing together Spectrum Internet, Advanced WiFi and Unlimited Spectrum Mobile to offer consumers fast, reliable and secure online connections on their favorite devices at home and on-the-go in a high-value package. Alternatively, our mobile customers can choose from unlimited or by-the-gig data usage plans and can easily switch between mobile data plans during the month. All plans include 5G service, free nationwide talk and text, and simple pricing that includes all taxes and fees. Our Unlimited Plus plan also includes an additional 20 gigabytes of data, international calls and roaming in over 190 countries and our Anytime Upgrade program that allows customers to upgrade their devices whenever they want, eliminating traditional wait times, upgrade fees and condition requirements. Customers can also purchase mobile devices and accessory products and have the option to pay for devices under interest-free monthly installment plans. Our device portfolio includes 5G models from Apple, Google and Samsung and we offer trade-in options along with our Phone Balance Buyout program which makes switching mobile providers easier by helping customers pay off balances on ported lines.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Network Technology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includes three key components: a national backbone, regional/metro networks and a “last-mile” network. Both our national backbone and regional/metro network components utilize a redundant IP ring/mesh fiber architecture. The national backbone component provides connectivity from regional demarcation points to nationally centralized content, connectivity and services. The regional/metro network components provide connectivity between the regional demarcation points and headends within a specific geographic area and enable the delivery of content and services between these network components.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last-mile network largely utilizes a hybrid fiber coaxial cable (“HFC”) architecture, which combines the use of fiber optic cable with coaxial cable, together creating our fiber-powered network. In most systems, we deliver our signals via fiber optic cable from the headend to a group of nodes, and use coaxial cable to deliver the signal from individual nodes to the homes served by that node. Our design standard allows spare fiber strands to each node to be utilized for additional residential traffic capacity, and mid-market &amp; large business customer needs as they arise. For our mid-market &amp; large business customers, fiber optic cable is extended to the customer’s site. For most new buildouts, including for our rural construction initiative, and MDU sites, we utilize an all-fiber deployment. We believe that our fiber-powered network design provides high capacity and signal quality with a cost-efficient path to increased speeds.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fiber-powered network benefits include:</w:t>
      </w:r>
    </w:p>
    <w:p>
      <w:pPr>
        <w:spacing w:after="0" w:line="25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bandwidth capacity to enable video and broadband services;</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dedicated bandwidth for delivering higher signal quality and service reliability, which provides an advantage over cell phone home Internet offerings;</w:t>
      </w:r>
    </w:p>
    <w:p>
      <w:pPr>
        <w:spacing w:after="0" w:line="8" w:lineRule="exact"/>
        <w:rPr>
          <w:rFonts w:ascii="Arial" w:cs="Arial" w:eastAsia="Arial" w:hAnsi="Arial"/>
          <w:sz w:val="18"/>
          <w:szCs w:val="18"/>
          <w:color w:val="auto"/>
        </w:rPr>
      </w:pPr>
    </w:p>
    <w:p>
      <w:pPr>
        <w:ind w:left="320" w:hanging="312"/>
        <w:spacing w:after="0" w:line="233" w:lineRule="auto"/>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upgrade capacity at a lower incremental capital cost relative to our competitors;</w:t>
      </w:r>
    </w:p>
    <w:p>
      <w:pPr>
        <w:ind w:left="320" w:hanging="312"/>
        <w:spacing w:after="0" w:line="234" w:lineRule="auto"/>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powered network enabling out-of-home Advanced WiFi and 5G small cell access points; and</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infrastructure with connections capable of self installation by the customer in most of our passings.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systems currently provide a two-way all-digital platform, leveraging DOCSIS 3.1 technology and bandwidth of 750 megahertz or greater, to virtually all of our passings not yet part of our network evolution initiative. This bandwidth-rich network enables us to offer Spectrum Internet Gig across all of our footprint which enables us to provide fast, reliable and secure online connections, meeting current customer demands.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network evolution initiative, we are currently expanding our spectrum to 1.2 GHz through a module upgrade in the hub, node and amplifier and using high splits and DAA to deliver multi-gig speed capabilities while using the current DOCSIS 3.1 customer premise equipment. When paired with the next generation of DOCSIS modem, DOCSIS 4.0, we will be able to deliver even faster speeds. Next, we will begin to deploy DOCSIS 4.0 technology in the network and further increase our spectrum to 1.8 GHz enabling even higher speed capabilities. This network evolution will also allow us to extend fiber services to the home in a success based “Fiber on Demand” manner.</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complement our wireline investments with planned WiFi upgrades for in-home routers. With nearly 500 million devices connected wirelessly to our network in our customers' homes and businesses, we are unlocking our network investments for multi-gigabit speeds through the deployment of WiFi 7 routers.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210 Citizen Broadband Radio Service (“CBRS”) Priority Access Licenses (“PALs”). We intend to use these licenses along with General Authorized Access (“GAA”) CBRS spectrum to build our own 5G data-only mobile network on targeted 5G small cell sites leveraging our HFC network to provide power and data connectivity to the majority of the sites. These 5G small cells, combined with growing WiFi capabilities, increase speed and reliability along with improving our cost structure through offload of wireless data onto our owned networks. We continue to deploy 5G small cell sites in targeted areas of our footprint, as part of our broader multi-year 5G mobile network buildout, based on disciplined cost reduction targets.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Subsidized Rural Construction Initiative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continued our subsidized rural construction initiative expanding our network to offer a suite of broadband connectivity services, including fixed Internet, WiFi and mobile to over 1.7 million passings in unserved areas in states where we currently operate. Since inception in the beginning of 2022, we have spent $7.7 billion on our subsidized rural construction initiative and activated approximately 1.3 million passings. Including amounts spent to date, we expect to invest over $8 billion in total over the span of the initiative, a portion of which we expect to offset with government funding, including over $2 billion of support awarded through December 31, 2025 in the Rural Development Opportunity Fund (“RDOF”) auction and other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federal, state and municipal grants, including the Broadband Equity, Access and Deployment (“BEAD”) program. In addition to construction in areas subsidized by various government grants, we expect to continue rural construction in areas near our current plant and in areas surrounding subsidized construction where synergies can be achieved. These investments will allow us to generate long-term infrastructure-style returns by further taking advantage of our scale efficiencies, network quality and construction capabilities, while offering our high-quality products and services to more homes and businesses. We expect these newly served homes will be enabled to engage in remote work, virtual learning, telemedicine and other bandwidth-heavy applications that require high-speed broadband connectivity. Newly served rural areas also will benefit from our high-value Spectrum pricing and packaging structure including our mobile and voice offerings, as well as our comprehensive selection of video products. The successful and timely execution of such fiber-based construction is dependent on a variety of external factors, including the make-ready and utility pole permitting processes. With fewer homes and businesses in these areas, broadband providers need to access multiple poles per home, as opposed to multiple homes per pole in higher-density settings. As a result, pole applications, pole replacement rules and their affiliated issue resolution processes are all factors that can have a significant impact on construction timing and speed to completion. The RDOF auction rules and other subsidy grants establish construction milestones for the build-out utilizing subsidized funding. Failure to meet those milestones could subject us to financial penalties.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Customer Operations and Marketing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centralized, with senior executives responsible for coordinating and overseeing operations, including establishing company-wide strategies, policies and procedures. Sales and marketing, field operations, customer operations, network technology services, advertising sales, human resources, legal, government relations, communications, product, software development and information technology and finance are all directed at the corporate level. Regional and local field operations are responsible for customer premise service transactions and maintaining and constructing that portion of our network which is located outdoors. Our field operations strategy includes completing a significant portion of our activity with our own employees which we find drives consistent and higher quality services. In 2025, our in-house field operations workforce handled over 80% of our customer premise service transactions. In addition, we have been growing our in-house construction teams to perform a portion of our network expansion initiatives.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services are backed by an industry-first customer commitment. We do not restrict how, or how often, our customers can contact us. We are available across a range of channels, including phone, live-agent chat, the Spectrum application and social media. Our customer websites and mobile applications enable customers to pay their bills, manage their accounts, order and activate new services and utilize self-service help and support. In addition, our self-install program has been beneficial for customers who need flexibility in the timing of their installation.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commitment is reinforced by our customer-first policies and 100% U.S.-based workforce with live customer service representatives available 24/7. We manage our customer service call centers centrally to ensure a consistent, high-quality customer experience. In addition, we route calls by call type to specific agents that only handle such call types, enabling agents to become experts in addressing specific customer needs, creating a better customer experience. Service from our call centers continues to become more efficient as a result of new tool enhancements that give our front-line customer service agents more context and real-time information about the customer and their services which allows them to more effectively troubleshoot and resolve issues. Our call center agent desktop interface tool enables virtualization of all call centers thereby better serving our customers. Virtualization allows calls to be routed across our call centers regardless of the location origin of the call, reducing call wait times, and saving costs.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residential and commercial services using national brand platforms known as Spectrum, Spectrum Business, Spectrum Reach and Spectrum Community Solutions. These brands reflect our comprehensive approach to industry-leading products, driven by speed, performance and innovation. Our marketing strategy emphasizes the sale of our bundled services through targeted direct response marketing programs to existing and potential customers and increases awareness and the value of the Spectrum brand. Our marketing organization creates and executes marketing programs intended to grow customer relationships, increase the number of services we sell per relationship, retain existing customers and cross-sell additional products to current customers. We monitor the effectiveness of our marketing efforts, customer perception, competition, pricing, and service preferences, among other factors, in order to increase our responsiveness to our customers and to improve our sales and customer retention. Our Life Unlimited brand platform includes customer commitments that provide performance and service benchmarks and a simplified pricing structure designed to drive more value into our relationships. The marketing organization manages all residential and Spectrum Business sales channels including inbound, direct sales, online, outbound telemarketing and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offering a wide variety of video programming choices influences a customer’s decision to subscribe to and retain our video and Internet services. We obtain basic and premium programming, usually pursuant to written contracts from a number of suppliers. We have also been successful in obtaining access to the related programmer streaming applications pursuant to those contracts at no additional cost. Media corporation and broadcast station group consolidation has, however, resulted in fewer suppliers and additional selling power on the part of programming suppliers.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Programming is usually made available to us for a license fee, which is generally paid based on the number of customers to whom we make that programming available. Programming license fees may include various discounts such as “volume” discounts and other financial incentives and/or ongoing marketing support, as well as discounts for service penetration. We receive revenue to carry home shopping channels. We also offer VOD and pay-per-view movies and events that are subject to a revenue split with the content provider.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intense competition for residential customers, both from existing competitors and, as a result of the rapid development of new technologies, services and products, from new entrants.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Competition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residential Internet service faces competition across our footprint from fiber-to-the-home ("FTTH"), fixed wireless broadband, Internet delivered via satellite and DSL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FTTH competitors deliver 1 Gbps broadband speed (and some deliver multi Gbps) in at least a portion of their footprints which overlap our footprint. AT&amp;T Inc. ("AT&amp;T") and Verizon are our primary FTTH competitors. We face terrestrial broadband Internet (defined by the Federal Communications Commission (“FCC”) as at least 100 Mbps) competition from AT&amp;T and Verizon in approximately 27% and 16% of our operating footprint, respectively. DSL service is also offered across our footprint often at prices lower than our Internet services, although typically at speeds much lower than the minimum speeds we offer as part of our Spectrum pricing and packaging. In addition, commercial areas, such as retail malls, restaurants and airports, offer WiFi Internet service. Numerous local governments are also considering or actively pursuing publicly subsidized WiFi Internet access networks. In addition, providers are constructing open access networks that can deliver services from multiple underlying Internet service providers. These options offer alternatives to cable-based Internet access.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national mobile network operators offer long-term evolution (“LTE”) or 5G delivered cell phone home Internet service (fixed wireless access from cell phone towers) in our markets. In several markets, we also face competition from one or more fixed wireless providers that deliver point-to-point Internet connectivity. Further acquisition of additional spectrum by our competitors as a result of secondary sales or auction of additional spectrum would intensify these competitive pressures.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service faces competition from national mobile network operators (“MNOs”) including AT&amp;T, Verizon and T-Mobile, as well as a variety of regional operators and mobile virtual network operators. Most carriers offer unlimited data packages to customers and combine free or highly discounted devices based on rate plans selected. The MNOs also offer wireless Internet services delivered over networks that they continue to enhance to deliver faster speeds. AT&amp;T, Verizon and T-Mobile continue to expand 5G mobile services, and consolidations in the telecom industry continue to increase competition as they seek to offer converged connectivity services similar to ours. We also compete for retail activations with other resellers that buy bulk wholesale service from wireless service providers for resale.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faces growing competition across our footprint from a number of other sources, including companies that deliver linear network programming, movies and television shows on demand and other video content over broadband Internet connections to televisions, computers, tablets and mobile devices. Increasingly, exclusive television content, including marquee content like live sporting events, is becoming available from sources other than traditional MVPDs. These competitors include virtual MVPDs such as YouTube TV, Hulu Plus Live TV, Sling TV, Philo and DirecTV Stream.</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Other online video business models and products have also developed, some offered by programmers, including, (i) subscription video on demand (“SVOD”) services such as Netflix, Apple TV+, Amazon Prime and Hulu, (ii) programmer streaming applications such as HBO Max, ESPN Unlimited, Disney+, Peacock and Paramount+, (iii) ad-supported free online video products, including YouTube and Pluto TV, some of which offer programming for free to consumers that we currently purchase for a fee, (iv) pay-per-view products, such as iTunes, and (v) additional offerings from mobile providers which continue to integrate and bundle video services and mobile products. Historically, we have generally viewed SVOD online video services as complementary to our own video offering and, in the case of programmer streaming applications, we are packaging with the linear offerings. However, services from virtual MVPDs and programmer streaming applications, as well as piracy and password sharing, negatively impact the number of customers purchasing our video product.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also faces competition from DBS service providers, which have a national footprint and compete in all of our operating areas. DBS providers offer satellite-delivered pre-packaged programming services that can be received by relatively small and inexpensive receiving dishes. DBS providers offer aggressive promotional pricing and video services that are comparable in many respects to our residential video service. Our residential video service also faces competition from large telecommunications companies, primarily Verizon, which offer wireline video services in significant portions of our operating areas.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 Competition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voice service competes with wireless and wireline phone providers across our footprint, as well as other forms of communication, such as text messaging on cellular phones, instant messaging, social networking services, video conferencing and email. We also compete with “over-the-top” phone providers as well as companies that sell phone cards at a cost per minute for both national and international service. The increase in the number of different technologies capable of carrying voice services and the number of alternative communication options available to customers as well as the replacement of wireline services by wireless have intensified the competitive environment in which we operate our residential voice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of our operating areas, other regional competitors have built networks that offer Internet, mobile, video and voice services that compete with our services. We also compete with other sources of news, information and entertainment, including over-the-air television broadcast reception, live events, movie theaters and the Internet. Competition is also posed by fixed wireless and satellite master antenna television systems serving MDUs, such as condominiums, apartment complexes, and private residential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across each of our business services product offerings. Our small business Internet, mobile, video and voice services face competition from a variety of providers as described above. Our mid-market &amp; large business solutions face competition from the competitors described above as well as cloud-based application-service providers, managed service providers and other telecommunications carriers, such as metro and regional fiber-based carriers.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for advertising revenue across many different platforms and from a wide range of local and national competitors. Advertising competition has increased and will likely continue to increase as new advertising platforms seek to attract the same advertisers. We compete for advertising revenue against, among others, local broadcast stations, national cable and broadcast networks, direct-to-consumer ad-supported applications, connected device platforms, social media networks, online advertising companies and content providers, radio stations and print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and cyclical variations. Our results are impacted by the seasonal nature of customers receiving our cable services in college and vacation service areas. Our revenue is subject to cyclical advertising patterns and changes in viewership levels. Our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capital expenditures and trade working capital are also subject to significant seasonality based on the timing of subscriber growth, network programs, specific projects and construction.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Corporation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 right to receive 0.236 of a validly issued, fully paid and nonassessable share of Charter Class A common stock, par value $0.001 per share;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Liberty Broadband’s principal assets consist of approximately 41.5 million shares of Charter Class A common stock. Pursuant to the Merger Agreement, Liberty Broadband agreed to spin off its subsidiary, GCI, LLC, which was comprised of one operating entity, GCI Holdings, LLC (“GCI”), Alaska’s largest communications provider, by way of a distribution to the stockholders of Liberty Broadband prior to the closing of the Liberty Broadband Combination (the “GCI Divestiture”). The GCI Divestiture was completed on July 14, 2025. The GCI Divestiture is expected to be taxable to Liberty Broadband and its stockholders, with Charter bearing the corporate level tax liability upon completion of the Liberty Broadband Combination. However, to the extent such corporate level tax liability exceeds $420 million, Charter will be entitled under a tax receivables agreement to the portion of the tax benefits realized by GCI corresponding to such excess. Liberty Broadband has debt of $1.8 billion as of September 30, 2025 that will be repaid prior to closing or assumed by Charter, and $180 million in aggregate liquidation preference of Liberty Broadband preferred stock that will be converted into an equal amount of Charter preferred stock in the Liberty Broadband Combination. The companies currently expect the transaction to close contemporaneously with the closing of the Cox Transactions, unless otherwise agreed, subject to customary closing conditions.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Liberty Broadband Combination, filed by Charter on January 22, 2025, including the sections entitled “The Combination,” “The Merger Agreement” and “Other Agreements Related to the Combination - Stockholders and Letter Agreement Amendment”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Cox Transactions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Enterprises may designate one or more wholly owned subsidiaries to take actions with respect to Charter and Cox Enterprises,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Transaction Agreement, at the closing of the Cox Transactions (the “Closing”):</w:t>
      </w:r>
    </w:p>
    <w:p>
      <w:pPr>
        <w:spacing w:after="0" w:line="25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entity will assume Cox Communications’ approximately $12.6 billion in outstanding net debt and finance leases (assumed debt is on a pro forma basis contemplating Cox Communications refinancing of debt maturities occurring between signing and closing of the Cox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definitive proxy statement with respect to the acquisition, filed by Charter on July 2, 2025, including the sections entitled “The Transactions,” “The Transaction Agreement” and “Other Agreements Related to the Transactions”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summary addresses the key regulatory and legislative developments affecting the cable industry and our services for both residential and commercial customers. Cable systems and related communications networks and services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and they are likely to do so again in the future. We could be materially disadvantaged in the future if we are subject to new laws, regulations or regulatory actions that do not equally impact our key competitors. For example, Internet-delivered streaming video services compete with our traditional video service, but they are not subject to the same level of federal, state, and local regulation. In addition, changes in Supreme Court precedent have increased the likelihood that federal courts could vacate federal agency rules that would have been favorable or unfavorable to our business. We cannot provide assurance that the already extensive regulation of our business will not be expanded in the future.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Carry/Retransmission Consent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 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our operating costs. A recent federal court decision allows for additional consolidation of the top four rated broadcast stations in local markets, which will likely result in increases in the rates for retransmission consent. Further, the FCC is considering modifying its rules to allow broadcast television ownership groups to own more broadcast stations in a given market and nationally, which would also result in further increases in the rates for retransmission consent.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Pole Attachments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requires investor-owned utilities to provide cable systems with access to poles and conduits upon reasonable, non-discriminatory terms and at rates that are subject to either federal or state regulation. Federal regulations, which apply in twenty-six states, establish cost-based rental rates applicable to pole attachments used for cable or telecommunications services, including when offered together with Internet service, and at times establish mandatory timelines for processing pole access requests and limitations on make-ready costs that pole owners may charge for accommodating attachments. The FCC's approach does not directly affect the rate in the twenty-three states that self-regulate, but most of those states follow substantially similar approaches as the FCC. The federal pole attachment law does not extend to poles owned by electric cooperatives or municipal electric companies, but states are free to regulate these entities, and some do. We sometimes face challenges getting access to poles in rural areas where upfront construction and make ready costs can be higher and where pole owners may be slow to grant our permit requests, especially when the FCC pole attachment rules do not apply or when FCC mandatory timelines do not apply, as is the case in many rural builds.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FCC Regulatory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Communications Act and FCC regulations cover a variety of additional areas applicable to our video services, including, among other things: (1) licensing of systems and facilities, including the grant of various spectrum licenses; (2) equal employment opportunity obligations; (3) customer service standards; (4) technical standards; (5) mandatory blackouts of certain network and syndicated programming; (6) restrictions on political advertising; (7) restrictions on advertising in children’s programming; (8) ownership restrictions; (9) 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our ownership interests in channels we carry; (10) emergency alert systems; (11) inside wiring and contracts for MDU complexes; (12) accessibility of content, including requirements governing video-description and closed-captioning; (13) competitive availability of cable equipment; (14) the provision of up to 15% of video channel capacity for commercial leased access by unaffiliated third parties; (15) public, education and government entity access requirements; and (16) disclosure of an aggregated monthly “all-in” price on customer bills and advertising materials that include the price of video programming. Each of these regulations restricts our business practices to varying degrees and may impose additional costs on our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our operations including for microwave backhaul, broadcast, unlicensed WiFi and CBRS. Our ability to access and use spectrum that may become available in the future is uncertain and may be limited by further FCC auction or allocation decisions. Congressional action in 2025 restored the FCC’s auction authority and could result in the licensing of additional spectrum in a manner beneficial to our competitors. New or additional spectrum obtained by other parties could lead to additional wireless competition to our existing and future services.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We cannot predict at this time what new requirements may be adopted and how such changes might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our payments under the compulsory license. On December 16, 2024, the Copyright Office issued an order modifying the license’s royalty calculations and reporting obligations, however, we do not believe the impact of such modifications will be material to us. The possible modification or elimination of this license is the subject of continuing legislative proposals and administrative review and could adversely affect our ability to obtain desired broadcast programming.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systems generally are operated pursuant to nonexclusive franchises, permits, and similar authorizations granted by a municipality or other state or local government entity in order to utilize and cross public rights-of-way.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Cable franchises generally are granted for fixed terms and in many cases include monetary penalties for noncompliance and may be terminable if the franchisee fails to comply. The specific terms and conditions of cable franchises vary significantly between jurisdictions. They generally contain provisions governing cable operations, payment of franchise fees, access to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use of rights of way, system construction, maintenance, technical performance, customer service standards, supporting and carrying public, education and government access channels, and changes in the ownership of the franchisee. Although local franchising authorities have considerable discretion in establishing franchise terms, certain federal protections benefit cable operators. For example, federal law imposes a cap on franchise fees of 5% of gross revenues from the provision of cable services over the cable system. The FCC has clarified that the value of in-kind contribution requirements set forth in cable franchises is subject to the statutory cap on franchise fees, and it reaffirmed that state and local authorities are barred from imposing franchise fees on revenues derived from non-cable services, such as Internet services, provided by cable operators over cable systems.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states have adopted franchising laws that provide for state-issued franchises. Generally, state-issued cable franchises are for a fixed term (or in perpetuity), streamline many of the traditional local cable franchise requirements and eliminate local negotiation and enforcement of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Act provides for an orderly franchise renewal process in which granting authorities may not unreasonably deny renewals. If we fail to obtain renewals of franchises representing a significant number of our customers, it could have a material adverse effect on our consolidated financial condition, results of operations, or our liquidity. Similarly, if a franchising authority’s consent is required for the purchase or sale of a cable system, the franchising authority may attempt to deny the transaction or impose more burdensome requirements as a condition for providing its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Service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FCC currently classifies broadband Internet access services, such as those we offer, as an “information service,” which exempts the service from traditional communications common carrier laws and regulations. Previously, the FCC has classified broadband Internet access services as “telecommunications service.” If the FCC were again to reclassify broadband Internet access services as telecommunications services, it could adversely affect our business.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FCC adopted new requirements based upon Congressional directive to post standardized labels disclosing our network management policies and performance of our broadband Internet access services, similar to the format of food nutrition labels, for each of our currently available consumer Internet offerings. The FCC is considering removing some of the details of these requirements.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courts have allowed states to regulate broadband Internet access services, despite their classification as information services. Several states, including California, Maine and Vermont, have adopted rules similar to the network neutrality requirements that were eliminated by the FCC, and the California rules were upheld in federal court.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 has also adopted other regulations, including network resiliency rules to assure backup power is available after natural disasters and other outages and where commercial power has been turned off due to public safety power shutoffs, and it is considering the imposition of licensing requirements and service quality metrics on Internet service providers. New York legislation became effective in 2025 that requires Internet service providers to offer a discounted Internet service to qualifying low-income consumers. We cannot predict what other legislation and regulations may be adopted by states, or how challenges to such requirements will be resolved.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FCC adopted new rules governing digital discrimination, pursuant to The Infrastructure Investment and Jobs Act of 2021 (the “IIJA”), to prevent discrimination of access to broadband Internet services. Most of these rules have become effective, but they are subject to ongoing legal challenges. We cannot predict what other legislation and regulations may be adopted by states, or the outcome of legal challenges or whether the nature of practices that could be subject to enforcement under these rules could adversely affect our business.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federal, state and local governments have offered billions of dollars in subsidies to companies deploying broadband to areas deemed to be “unserved” or “underserved,” using funds from the FCC’s RDOF auction in 2020, The Coronavirus Aid, Relief, and Economic Security (“CARES”) Act (2020), The American Rescue Plan Act of 2021 (“ARPA”), BEAD and IIJA. We support such subsidies, provided they are not directed to areas that are already served, and have sought and expect to continue to seek subsidies for our own broadband construction in unserved and underserved areas through programs including RDOF and those created pursuant to ARPA and, if regulatory requirements are reasonable, the IIJA. To date, we have been awarded over $2 billion in the RDOF auction and other federal, state and municipal grants that will partially fund, along with our substantial additional investment, the construction of new broadband infrastructure to over 1.7 million estimated passings. Our awards include a number of regulatory requirements, such as serving as the carrier of last resort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completing increasingly larger portions of the network construction by certain dates. If we fail to meet these obligations, we could be subject to substantial government penalties.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has adopted rules for service providers to report broadband availability, pursuant to the Broadband Data Act. Providers are required to report their service areas twice each year. The service areas reported are subject to challenge. A broadband provider who provides inaccurate maps or fails to respond properly to challenges may be subject to enforcement action by the FCC. The FCC can also fine a provider for filing incorrect maps.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Spectrum Mobile service offers mobile Internet access and telephone service. We provide this service as a mobile virtual network operator (“MVNO”) using Verizon’s network and our network through Spectrum WiFi and CBRS. As an MVNO, we are subject to many of the same FCC regulations that apply to facilities-based wireless carriers, as well as certain state or local regulations, including (but not limited to): 911 emergency services (“E911”), local number portability, customer privacy, Communications Assistance for Law Enforcement Act (“CALEA”), Universal Service Fund contributions, robocall mitigation, hearing aid compatibility and safety and emission requirements for mobile devices. Spectrum Mobile’s broadband Internet access service is also subject to the FCC’s transparency rule and broadband labeling rules.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or other regulatory authorities may adopt new or different regulations for MVNOs and/or mobile service providers in the future, or impose new taxes or fees applicable to Spectrum Mobile, which could adversely affect the service offering or our business generally. For example, California has proposed the imposition of service quality metrics on mobile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Voice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has never classified the VoIP wireline telephone services we offer as “telecommunications services” that are subject to traditional federal common carrier regulation, but instead has imposed some of these regulatory requirements on a case-by-case basis, such as requirements relating to E911, CALEA (the statute governing law enforcement access to and surveillance of communications), Universal Service Fund contributions, customer privacy and Customer Proprietary Network Information (“CPNI”) protections, number portability, network and/or 911 outage reporting (including outages that adversely affect 911 service), rural call completion, disability access, regulatory fees, robocall mitigation and discontinuance of service. It is possible that the FCC or Congress will impose additional federal requirements on our VoIP telephone services in the future.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VoIP telephone services are subject to certain state and local regulatory fees such as E911 fees and contributions to state universal service funds. Additionally, to comply with RDOF program requirements, we have chosen in the RDOF areas to offer Lifeline VoIP telephone services subject to traditional federal and state common carrier regulations. We also offer Lifeline VoIP telephone services in portions of our California and New York service areas. Except where we have chosen to offer VoIP telephone services in such a manner, we believe that our VoIP telephone services should be governed primarily by federal regulation. The federal Court of Appeals for the Eighth Circuit affirmed our successful challenge to Minnesota's attempt to generally apply telephone regulation to our VoIP services, but that ruling is limited to the seven states in that circuit. Some states have attempted to subject cable VoIP services, such as our VoIP telephone service, to state level regulation. California has imposed licensing, reporting and other obligations on our VoIP services, including backup power requirements, and has proposed the imposition of service quality metrics on VoIP services. We have registered with or obtained certificates or authorizations from the FCC and the state regulatory authorities in those states in which we offer competitive voice services and/or VOIP in order to ensure the continuity of our services. However, it is unclear whether and how these and other ongoing regulatory matters ultimately will be resolved. State regulatory commissions and legislatures may continue to consider imposing regulatory requirements on our fixed wireline voice telephone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Communications Act limits our ability to collect, use, and disclose customers’ personally identifiable information for our Internet, mobile, video and voice services. We are subject to additional federal, state, and local laws and regulations that impose additional restrictions on the collection, use and disclosure of consumer information. All broadband and VoIP providers are also obliged by CALEA to configure their networks in a manner that facilitates the ability of state and federal law enforcement, with proper legal process authorized under the Electronic Communications Privacy Act, to wiretap and obtain records and information concerning our customers, including the content of their communications. Further, the FCC, Federal Trade Commission (“FTC”), and many states regulate and restrict the marketing practices of communications service providers, including telemarketing and sending unsolicited commercial emails. The FTC currently has the authority, pursuant to 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general authority to enforce against unfair or deceptive acts and practices, to protect the privacy of Internet service customers, including our use and disclosure of certain customer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All states have data breach notification laws that would require us to inform individuals and regulators in the event of a breach that could impact personal information of our customers. In the event of an information security breach, such rules may require consumer and government agency notification and may result in regulatory enforcement actions with the potential of monetary forfeitures. The FCC, the FTC and state attorneys general regularly bring enforcement actions against companies related to information security breaches and privacy violations. The California Privacy Protection Agency adopted new cybersecurity regulations that will require us to conduct annual cybersecurity audits if the processing of our personal data “presents significant risk to consumers’ security.” The first deadline for compliance is January 1, 2027 and the first audit certification is due by April 1, 2028.</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We describe those standards in Item 1C. Cybersecurity - Risk Management and Strategy. The Department of Homeland Security’s Cybersecurity and Infrastructure Security Agency has sought comment on the development of cyber incident reporting rules, pursuant to 2022 legislative requirements, that require critical infrastructure entities to report substantial cyber incidents within 72 hours of their discovery. On June 13, 2025, the New York Public Service Commission issued a Notice of Proposed Rulemaking for Information Technology Cybersecurity Requirements pertaining to regulated entities, including telecommunications and cable service providers. Written comments on the proposed rule were due on September 15, 2025, and the proceeding is ongoing. These rules, if adopted, may increase our costs or impose new restrictions on the operation of our business. The Department of Defense began the phased rollout of the Cybersecurity Maturity Model Certification (“CMMC”) program, which amends the Defense Federal Acquisition Regulation Supplement and introduces mandatory cybersecurity standards for defense contractors, on November 10, 2025.</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restrictions on our ability to collect, use and disclose, and safeguard certain consumer information. Many states have enacted comprehensive consumer data privacy laws, and some states have enacted issue-specific privacy laws covering health information and children's information. For example, the California Consumer Privacy Act (“CCPA”) regulates companies’ collection, use and disclosure of the personal information of California residents and employees and authorizes enforcement actions by the California Attorney General and private class actions for data breaches. The Maine Act to Protect Privacy of Online Customer Information, which regulates how Internet service providers use and disclose customers’ personal information and requires Internet service providers to take reasonable measures to protect customers’ personal information, became effective on July 1, 2020. Data privacy laws subsequently have taken effect in Colorado, Connecticut, Delaware, Florida, Indiana, Iowa, Kentucky, Maryland, Minnesota, Montana, Nebraska, New Hampshire, New Jersey, Oregon, Rhode Island, Tennessee, Texas, Utah, and Virginia. The California Privacy Protection Agency adopted new regulations governing the use of automated decision-making tools, defining cybersecurity audit requirements, and requiring risk assessments of certain types of processing activities. Colorado adopted amendments to its regulations under the Colorado Privacy Act, and New Jersey is in the process of finalizing regulations under the New Jersey Data Privacy Act. Colorado passed the Colorado Artificial Intelligence Act (“CAIA”) which will take effect on June 30, 2026. The CAIA governs the use of certain Artificial Intelligence systems. Each of these laws will regulate the way that companies collect, use, and share personal information about consumers. Other state legislatures are considering the adoption of new data security and cybersecurity legislation, and states with newly passed laws continue to consider amendments, that could result in additional network and information security requirements for our business. For example, Louisiana (effective July 1, 2026), Texas (effective January 1, 2026 but enjoined by the district court and appealed to the fifth circuit where it is currently pending), California (effective January 1, 2027) and Utah (effective May 7, 2025) passed laws establishing specific requirements for app developers and stores requiring age verification and parental consent for online apps.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FTC adopted amendments to the Children’s Online Privacy Protection Act (“COPPA”) rules earlier this year to reflect changes in technology that have occurred since the COPPA rules were last updated in 2013. The FTC has also warned companies not to misuse consumers’ biometric information, with a broad definition of biometrics similar to Washington’s My Health My Data Act and the CCPA that treat biometrics as sensitive consumer information, and Illinois and Texas have also adopted laws regulating the use of such information. Congress may also adopt new privacy and data security obligations that could supplement or preempt state privacy laws.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enforcement of state consumer privacy laws has increased with both the California attorney general and the California Privacy Protection Agency bringing actions against companies in multiple industry sectors for failure to comply with various aspects of the CCPA. The Texas attorney general has been active in enforcing the new Texas Data Privacy and Security Act and other states—including Connecticut, Arkansas, and Nebraska—have increased enforcement.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predict whether any of the above efforts will be successful, challenged, upheld, vacated, or preempted, or how new legislation and regulations, if any, would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91,900 active full-time equivalent employees. The vast majority of our employees sell or service our products. We believe that attracting, developing and retaining our highly-skilled 100% U.S.-based employees is critical to successfully executing our operating strategy. With competitive wages, robust and affordable healthcare benefits, a generous retirement program with company match, and opportunities for job training and advancement, our employees develop skills and expertise necessary to build a long and successful career with us. In addition, the communities we serve are reflected in our workforce, which is a critical part of our success in serving these communities. We value the unique backgrounds, perspectives, and experiences of our employees. Embracing these differences brings us together for the common mission of exceeding our customers’ needs. There are several ways in which we attract, develop, and retain highly qualified talent, including: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Rewarding Our Employees Competitively and Fairly</w:t>
      </w:r>
    </w:p>
    <w:p>
      <w:pPr>
        <w:spacing w:after="0" w:line="25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compensation packages that are market competitive, taking into account the location and responsibilities of the role.</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All hourly employees have a starting minimum wage of at least $20 per hour, which is well above any state or federal minimum wage level.</w:t>
      </w:r>
    </w:p>
    <w:p>
      <w:pPr>
        <w:spacing w:after="0" w:line="8"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 of our employees are eligible for additional variable compensation based on their performance, including annual bonus eligibility for all frontline supervisors and other salaried employees not already on a sales commission or bonus plan.</w:t>
      </w:r>
    </w:p>
    <w:p>
      <w:pPr>
        <w:jc w:val="both"/>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high-quality, comprehensive medical, dental, and vision coverage for all full-time and part-time employees. It is our priority to keep this coverage affordable for our employees and their families, and so for the last 13 years, we have absorbed the full premium cost increase for medical, dental, and vision coverage.</w:t>
      </w:r>
    </w:p>
    <w:p>
      <w:pPr>
        <w:jc w:val="both"/>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competitive financial benefits to all employees such as a 401(k) Plan with a dollar-for-dollar company match up to 6% of their eligible pay. Most of our employees are also eligible to receive an additional non-elective contribution to a Retirement Accumulation Plan equal to 3% of their eligible pay. In addition, in 2025, we introduced a new employee stock purchase plan that gives eligible employees the option to purchase Charter Class A common stock and receive a matching grant of restricted stock units that increase based on tenure.</w:t>
      </w:r>
    </w:p>
    <w:p>
      <w:pPr>
        <w:ind w:left="320" w:hanging="312"/>
        <w:spacing w:after="0"/>
        <w:tabs>
          <w:tab w:leader="none" w:pos="32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have a stock incentive plan and grant equity awards to eligible employees on an annual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Our Workforce to Deliver the Best in Customer Experience</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substantial skills, experience and industry knowledge of our employees and our training of our customer-facing employees benefit our operations and performance. We offer thousands of learning experiences spanning leadership development, new hire, and professional skills training both online and in the classroom.</w:t>
      </w:r>
    </w:p>
    <w:p>
      <w:pPr>
        <w:ind w:left="340" w:hanging="332"/>
        <w:spacing w:after="0" w:line="250"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tuition-free degree and certificate program, removing the financial barrier for employees to continue their education through convenient online learning.</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traditional tuition reimbursement of up to $10,000 per year for employees who want to pursue other outside programs.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Most of our customer-facing roles have the opportunity for upward advancement including through supervisory and leadership roles. Our Field Operations organization has a formalized self-progression structure where employees who maintain exceptional levels of performance can complete online coursework to advance to next level within their job family.</w:t>
      </w:r>
    </w:p>
    <w:p>
      <w:pPr>
        <w:jc w:val="both"/>
        <w:ind w:left="340" w:hanging="332"/>
        <w:spacing w:after="0" w:line="250" w:lineRule="auto"/>
        <w:tabs>
          <w:tab w:leader="none" w:pos="3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Our Broadband Technician Apprenticeship Program is one of our promising strategies for building our skilled workforce. This program, certified by the U.S. Department of Labor, is aligned with our broadband technician career progression and includes thousands of hours of on-the-job training along with classroom instruction. When enrolled employees complete the program, they become certified broadband technicians.</w:t>
      </w:r>
    </w:p>
    <w:p>
      <w:pPr>
        <w:jc w:val="both"/>
        <w:ind w:left="340" w:hanging="332"/>
        <w:spacing w:after="0" w:line="255" w:lineRule="auto"/>
        <w:tabs>
          <w:tab w:leader="none" w:pos="33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annual talent planning to review the overall performance of our leaders and their potential to serve in larger, more complex roles. Executive leadership reviews the results of talent conversations, which open possibilities for career growth opportunities and cross-organizational movement.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4" w:name="page25"/>
    <w:bookmarkEnd w:id="2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which affects our ability to attract and retain customers and can adversely affect our business, operations and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become more so in recent years. In some instances, we compete against companies with fewer regulatory burdens, better access to financing and greater and more favorable brand name recognition. Increasing consolidation in the telecommunications and content industries have provided additional benefits to certain of our competitors, either through access to financing, resources, or efficiencies of scale including the ability to launch new products and services.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Internet service faces competition from other companies’ FTTH, cell phone home Internet service, Internet delivered via satellite and DSL services. Various operators offer wireless Internet services delivered over networks which they continue to enhance to deliver faster speeds and also continue to expand 5G mobile services as they seek to offer converged connectivity services similar to ours. Our mobile and voice services compete with wireless and wireline phone providers, as well as other forms of communication, such as text, instant messaging, social networking services, video conferencing and email. Competition from these companies, including intensive marketing efforts with aggressive pricing, may have an adverse impact on our ability to attract and retain customers.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service faces competition from a number of sources, including DBS services, and companies that deliver linear network programming, movies and television shows on demand and other video content over broadband Internet connections to televisions, computers, tablets and mobile devices often with password sharing among multiple users and security that makes content susceptible to piracy. Newer products and services, particularly alternative methods for the distribution, sale and viewing of content may continue to be developed, further increasing the competition that we face.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 number of choices available to audiences, including low-cost or free choices, could negatively impact not only consumer demand for our products and services, but also advertisers’ willingness to purchase advertising from us. We compete for the sale of advertising revenue with television networks and stations, as well as other advertising platforms, such as online media, radio and print. Competition related to our service offerings to businesses continues to increase as well, as more companies deploy more fiber to more buildings, which may negatively impact our growth and put pressure on margins.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effectively anticipate or adapt to new technologies (including those that use artificial intelligence (“AI”)) and changes in customer expectations and behavior could significantly adversely affect our competitive position with respect to the leisure time and discretionary spending of our customers and, as a result, affect our business and results of operations. Competition may also reduce our expected growth of future cash flows which may contribute to future impairments of our franchises and goodwill and our ability to meet cash flow requirements, including debt service requirements. For additional information regarding the competition we face, see “Item 1. Business - Competition” and “Item 1. Business - Regulation and Legislation.”</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Various events could disrupt or result in unauthorized access to our networks, information systems or properties and could impair our operating activities and negatively impact our reputation and financial results.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technologies are critical to our operating activities, both for our internal uses, such as network management, and supplying services to our customers, including customer service operations and programming delivery. Network or information system shutdowns or other service disruptions caused by events such as computer hacking, phishing, dissemination of computer viruses, worms and other destructive or disruptive software, malicious cyber activities by nation-state threat actors, “cyber attacks” such as ransomware, process breakdowns, denial of service attacks and other malicious activity pose increasing risks. Both unsuccessful and successful “cyber attacks” on companies have continued to increase in frequency, scope and potential harm in recent years, and the increasing use of AI may intensify these cybersecurity risks. While we develop and maintain systems seeking to prevent systems-related events and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 While from time to time attempts have been made to access our network, these events have not as yet resulted in any material release of information, degradation or disruption to our network and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information systems are also vulnerable to damage or interruption from power outages, telecommunications failures, accidents, natural disasters (including extreme weather arising from short-term or long-term changes in weather patterns), terrorist attacks and similar events. Our system redundancy may be ineffective or inadequate, and our disaster recovery planning may not be sufficient for all eventualities.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many of these events and may experience additional events in the future. Any of these events, if directed at, or experienced by, us or technologies upon which we depend, have had and could in the future have adverse consequences on our network, our customers and our business, including degradation of service, service disruption, excessive call volume to call centers, and damage to our or our customers’ equipment and data. Large expenditures and substantial resources have been and may in the future be necessary to repair or replace damaged property, networks or information systems or to protect them from similar events in the future. Moreover, the amount and scope of insurance that we maintain against losses resulting from any such events or security breaches has not always been and may not in the future be sufficient to cover our losses or otherwise adequately compensate us for any disruptions to our business that have resulted and may result. Any such significant service disruption could result in damage to our reputation and credibility, customer dissatisfaction and ultimately a loss of customers or revenue. Any significant loss of customers or revenue, or significant increase in costs of serving those customers, could adversely affect our growth, financial condition and results of operations.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We provide certain confidential, proprietary and personal information to third parties in connection with our business, and there is a risk that this information may be compromised.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the personal information of our customers. Ongoing increases in the potential for misuse of personal information, the public’s awareness of the importance of safeguarding personal information, and the volume of legislation that has been adopted or is being considered regarding the protection, privacy and security of personal information have resulted in increases to our information-related risks. We could be exposed to significant costs if such risks were to materialize, and such events could damage our reputation, credibility and business and have a negative impact on our revenue. We could be subject to regulatory actions and claims made by consumers in private litigations involving privacy issues related to consumer data collection and use practices. We also could be required to expend significant capital and other resources to remedy any security breach.</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third-party service providers, suppliers and licensors to supply some of the services, hardware, software and operational support necessary to provide some of our services and execute our network evolution and rural construction initiatives. Some of our hardware, software and operational support vendors and service providers represent our sole source of supply or have, either through contract or as a result of intellectual property rights, a position of some exclusivity. Our ability to provide some services and complete our network evolution and rural construction initiatives might be materially adversely affected, or the need to procure or develop alternative sources of the affected materials or services might interrupt or delay our ability to serve existing and new customers, if any of these parties experience or engage in the following:</w:t>
      </w:r>
    </w:p>
    <w:p>
      <w:pPr>
        <w:spacing w:after="0" w:line="21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or elect not to renew their agreements with us or otherwise fail to perform their obligations in a timely manner;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exceeds these vendors’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or component supply conditions impact vendors’ ability to perform their obligations or significantly increase the amount we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operating or financial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network or information system shutdowns or other service disruptions or security breaches;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the amount we are required to pay (including demands for substantial non-monetary compensation) for necessary products or services; or</w:t>
      </w:r>
    </w:p>
    <w:p>
      <w:pPr>
        <w:ind w:left="660" w:right="2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production or providing necessary software updates of any necessary product due to lack of demand, profitability or a change in ownership or are otherwise unable to provide the equipment or services we need in a timely manner at our specifications and at reasonable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existence of only a limited number of vendors of key technologies can lead to less product innovation and higher costs. Any of these events could materially and adversely affect our ability to retain and attract customers and our operations, business, financial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respond to technological developments and meet customer demand for new products and services could adversely affect our ability to compete effectively.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consumer-driven and rapidly changing environment. From time to time, we may pursue strategic initiatives to launch products or enhancements to our products. Our success is, to a large extent, dependent on our ability to acquire, develop, adopt, upgrade and exploit new and existing technologies to address consumers’ changing demands and distinguish our services from those of our competitors. We may not be able to accurately predict technological trends or the success of new products and services. If we choose technologies or equipment that are less effective, cost-efficient or attractive to customers than those chosen by our competitors, if technologies or equipment on which we have chosen to rely cease to be available to us on reasonable terms or conditions, if we offer services that fail to appeal to consumers, are not available at competitive prices or that do not function as expected, if we are not able to fund the expenditures necessary to keep pace with technological developments, or if we are no longer able to make our services available to our customers on a third-party device on which a substantial number of customers have relied to access our services, our competitive position could deteriorate, and our business and financial results could suffer.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some of our competitors to introduce new technologies, products and services more quickly than us may adversely affect our competitive position. Furthermore, advances in technology, decreases in the cost of existing technologies or changes in competitors’ product and service offerings may require us in the future to make additional research and development expenditures or to offer, at no additional charge or at a lower price, certain products and services that we currently offer to customers separately or at a premium. In addition, the uncertainty of our ability, and the costs, to obtain intellectual property rights from third parties could impact our ability to respond to technological advances in a timely and effective manner.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to maintain and expand our upgraded systems and provide advanced services in a timely manner, or to anticipate the demands of the marketplace, could materially adversely affect our ability to attract and retain customers. In addition, as we continue to grow our mobile services using virtual network operator rights from a third party, we expect continued growth-related sales and marketing and other customer acquisition costs. We also continue to consider and pursue opportunities in the mobile space which may include the acquisition of additional licensed spectrum and may include entering into or expanding joint ventures or partnerships with wireless or cable providers which may require significant investment. For example, we now hold CBRS PALs to support existing and future mobile services. These licenses are subject to revocation and expiration. Although we expect to be able to maintain and renew these licenses, the loss of one or more licenses could significantly impair our ability to offload mobile traffic and achieve cost reductions. If we are unable to continue to grow our mobile business and achieve the outcomes we expect from our investments in the mobile business, our growth, financial condition and results of operations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cannot continue to license or enforce the intellectual property rights on which our business depends.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and licenses and other agreements with our employees, customers, suppliers and other parties to establish and maintain our intellectual property rights in technology and the products and services used in our operations. Also, because of the rapid pace of technological change, we both develop our own technologies, products and services and rely on technologies developed or licensed by third parties. However, any of our intellectual property rights, or the rights of our suppliers, could be challenged or invalidated, or such intellectual property rights may not be sufficient to permit us to take advantage of current industry trends or otherwise to provide competitive advantages, which could result in costly redesign efforts, discontinuance of certain product or service offerings or other competitive harm. We may not be able to obtain or continue to obtain licenses from these third parties on reasonable terms, if at all. In addition, claims of intellectual property infringement could require us to enter into royalty or licensing agreements on unfavorable terms, incur substantial monetary liability or be enjoined preliminarily or permanently from further use of the intellectual property in question, which could require us to change our business practices or offerings and limit our ability to compete effectively. Even unsuccessful claims can be time-consuming and costly to defend and may divert management’s attention and resources away from our business. Infringement claims continue to be brought frequently in the communications and entertainment industries, and we are also often a party to such litigation alleging that certain of our services or technologies infringe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pass on to our customers all of the increases in programming costs, which could adversely affect our cash flow and operating margins.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are one of our largest expense items. While decreases in video customers combined with a change in the mix of customers choosing lower cost packages have offset total programming cost increases, we expect contractual programming rates per service subscriber to continue to increase in excess of customary inflationary and cost-of-living type increases as a result of annual increases pursuant to our programming contracts and contract renewals with programmers. Although we pass along amounts paid for local broadcast station retransmission consent to the majority of our video customers, the inability to fully pass programming cost increases on to our video customers has had, and is expected in the future to have, an adverse impact on our cash flow and operating margins associated with the video product. In order to mitigate impacts to our operating margins due to increasing programming rates, we continue to review our pricing and programming packaging strategies. Further, some programmers have begun to simulcast and/or move popular programming to programmer streaming applications which has created a competitive alternative to our video subscription at lower price points that could, in turn, result in customer losses. We have obtained and will continue to seek to obtain access to many of these programmer streaming applications, where applicable, as we renew agreements, so that we may continue to include these in our customers’ video subscriptions and/or sell to broadband customers for a share of revenue.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the cost of sports programming and the amounts paid for local broadcast station retransmission-consent have been the largest contributors to the growth in our programming costs over the last several years. Federal law allows commercial television broadcast stations to make an election between “must-carry” rights and an alternative “retransmission-consent” regime. When a station opts for the retransmission-consent regime, we are not allowed to carry the station’s signal without that station’s permission.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which could have an adverse effect on our business and financial results.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programming contracts are generally for a fixed period of time, with potentially significant spend subject to negotiated renewal in any particular year. We will seek to renew these agreements on terms that we believe are favorable.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 Any failure to carry programming that is attractive to our customers could adversely impact our customer levels, operations and financial results.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development and use of AI could give rise to legal or regulatory action, damage our reputation or otherwise materially harm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incorporate AI technology in certain parts of our business operations. Our research and development of such technology remains ongoing. AI presents risks, challenges and unintended consequences that could affect our and our customers’ adoption and use of this technology. AI algorithms and training methodologies may be flawed. Additionally, AI technologies are complex and rapidly evolving. While we aim to develop and use AI responsibly and attempt to identify and mitigate ethical and legal issues presented by its use, we may be unsuccessful in identifying or resolving issues before they arise. AI-related issues, deficiencies or failures could give rise to legal or regulatory action, including with respect to proposed legislation regulating AI or as a result of new applications of existing data protection, privacy, intellectual property and other laws, and could damage our reputation or otherwise materially harm our business.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exposure to the economic conditions of our current and potential customers, vendors and third parties could adversely affect our cash flow, results of operations and financial condition.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the economic conditions of our current and potential customers, the potential financial instability of our customers and their financial ability to purchase our products. If there were a prolonged general economic downturn, we may experience increased cancellations or non-payment by our customers or unfavorable changes in the mix of products purchased. This may include an increase in the number of homes that replace their video service with Internet-delivered or over-air content, as well as an increase in the number of Internet and voice customers substituting mobile data and voice products for wireline services, which would negatively impact our ability to attract customers, increase rates and maintain or increase revenue. In addition, our ability to gain new customers is dependent to some extent on growth in occupied housing in our service areas, which is influenced by both national and local economic conditions. Weak economic conditions may also have a negative impact on our advertising revenue. These events have adversely affected us in the past, and may adversely affect our cash flow, results of operations and financial condition in a future downturn.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Further, inflationary pressures may impact the ability of vendors and other third parties to satisfy their obligations to us. Any interruption in the services provided by our vendors or by third parties could adversely affect our cash flow, results of operation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our ability to manage our business could be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Our ability to hire and retain key employees for management positions could be impacted adversely by the competitive environment for management talent in the broadband communications and technology industries. The loss of the services of key members of management and the inability to hire or delay in hiring new key employees could adversely affect our ability to manage our business and our future operational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expect to incur significant additional debt, including secured debt, in the future, as well as additional debt in connection with the Cox Transactions and Liberty Broadband Combination, which could adversely affect our financial condition and our ability to react to changes in our business.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significant amount of debt, with total principal amount of approximately $94.6 billion and a leverage ratio of 4.15 times Adjusted EBITDA as of December 31, 2025. We expect to (subject to applicable restrictions in our debt instruments) incur additional debt in the future as Charter plans to maintain leverage near the midpoint of its stated 4.0 to 4.5 times Adjusted EBITDA target leverage range (net debt divided by the last twelve months Adjusted EBITDA) in the period leading up to the Closing. As part of the Cox Transactions, Charter will fund the $4.0 billion of cash consideration using debt and will assume Cox Communications' approximately $12.6 billion of net debt and finance leases. Charter plans to adjust its long-term target leverage range after Closing to 3.5 to 3.75 times Adjusted EBITDA but will still have a significant amount of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amount of debt could have adverse consequences, such as:</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capital at reasonable rates, or at all;</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13% of our borrowings as of December 31, 2025 were, and may continue to be, subject to variable rates of interest;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capital expenditures and other general corporate purposes;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expect to incur additional indebtedness in the future, including to refinance and/or in connection with the assumption of indebtedness of Cox Communications and/or its subsidiaries after the completion of the Cox Transactions as well as Liberty Broadband and/or its subsidiaries after the completion of the Liberty Broadband Combination. To the extent our current debt amounts increase more than expected, our operating results are lower than expected, or credit rating agencies downgrade our debt thereby increasing our costs of borrowing and potentially limiting our access to investment grade markets, or significant market disruptions occur, the related risks that we now face will intensify.</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CCO Holdings notes contain a number of significant covenants that could adversely affect our operations, liquidity and results of operations. These covenants restrict, among other things, CCO Holdings, CCO Holdings Capital Corp. and all of their restricted subsidiaries’ ability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9" w:name="page30"/>
    <w:bookmarkEnd w:id="29"/>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Charter Communications Operating, LLC (“Charter Operating”) credit facilities require Charter Operating to comply with a maximum total leverage covenant and a maximum first lien leverage covenant. The Charter Operating credit facilities, the Charter Operating notes, the Time Warner Cable, LLC (“TWC, LLC”) senior notes and debentures, and the Time Warner Cable Enterprises, LLC (“TWCE”) debentures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our secured notes and the Charter Operating credit facilities could foreclose on their collateral, which includes equity interests in substantially all of our subsidiaries, and exercise other rights of secured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Position of Liberty Broadband Corporation and Advance/Newhouse Partnership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 have governance rights that give them influence over corporate transactions and other matters.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Liberty Broadband currently owns a significant amount of Charter Class A common stock and is entitled to certain governance rights with respect to Charter and us. A/N currently owns Charter Class A common stock and a significant amount of membership interests in our indirect parent company, Charter Holdings, which are convertible into Charter Class A common stock, and is entitled to certain governance rights with respect to Charter. Members of the Board of Directors of Charter include a director who is an officer of Liberty Broadband, a director who is a director of Liberty Broadband and directors who are current or former officers and directors of A/N. Mr. Marty Patterson is the President and Chief Executive Officer of Liberty Broadband and Mr. J. David Wargo is a director of Liberty Broadband. Mr. Steven Miron is the Chief Executive Officer of A/N and Mr. Michael Newhouse is co-president of the parent of A/N and its affiliates. As of December 31, 2025, Liberty Broadband beneficially held approximately 29.22% of Charter’s voting stock and A/N beneficially held approximately 13.12% of Charter’s voting stock. Pursuant to the Second Amended and Restated Stockholders Agreement among Charter, Liberty Broadband and A/N, dated as of May 23, 2015 (the “Existing Stockholders Agreement”), as amended by Amendment No. 1 to the Second Amended and Restated Stockholders Agreement and the Letter Agreement, dated as of November 12, 2024 (the “Stockholders and Letter Agreement Amendment”), Liberty Broadband currently has the right to designate up to three directors as nominees for the Board of Directors of Charter and A/N currently has the right to designate up to two directors as nominees for the Board of Directors of Charter. Each of A/N and Liberty Broadband is entitled to nominate at least one director to each of the committees of the Board of Directors of Charter, subject to applicable stock exchange listing rules and certain specified voting or equity ownership thresholds for each of A/N and Liberty Broadband, and provided that the Nominating and Corporate Governance Committee and the Compensation and Benefits Committee each have at least a majority of directors that were not designated by either A/N or Liberty Broadband (referred to as the “unaffiliated directors” in the Existing Stockholders Agreement).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Existing Stockholders Agreement and Charter’s amended and restated certificate of incorporation fix the size of the board at 13 directors. Liberty Broadband and A/N are required to vote (subject to the applicable voting cap) their respective shares of Charter Class A common stock and Charter Class B common stock for the director nominees nominated by the Nominating and Corporate Governance Committee, including the respective designees of Liberty Broadband and A/N, and against any other nominees, except that, with respect to the unaffiliated directors, Liberty Broadband and A/N must instead vote in the same proportion as the voting securities are voted by stockholders other than A/N and Liberty Broadband or any group which includes any of them are voted, if doing so would cause a different outcome with respect to the unaffiliated directors. As a result of their rights under the Existing Stockholders Agreement and their significant equity and voting stakes in Charter, Liberty Broadband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Legislative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legislation and regulation, which could adversely affect our business.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services we offer are subject to numerous laws and regulations that can increase operational and administrative expenses and reduce revenues, including, but not limited to, those covering the following:</w:t>
      </w:r>
    </w:p>
    <w:p>
      <w:pPr>
        <w:spacing w:after="0" w:line="189" w:lineRule="exact"/>
        <w:rPr>
          <w:sz w:val="20"/>
          <w:szCs w:val="20"/>
          <w:color w:val="auto"/>
        </w:rPr>
      </w:pPr>
    </w:p>
    <w:p>
      <w:pPr>
        <w:ind w:left="660" w:right="1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high-speed Internet service, including regulating the price for low-income customers, network management, broadband labeling, broadband availability reporting, digital discrimination and transparency rules;</w:t>
      </w:r>
    </w:p>
    <w:p>
      <w:pPr>
        <w:jc w:val="both"/>
        <w:ind w:left="660" w:right="24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fixed and mobile voice communications, including rules for emergency communications, network and/or 911 outage reporting, CPNI safeguards and reporting, local number portability, efforts to limit unwanted robocalls, and, for mobile devices, hearing aid compatibility, safety and emission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that must be included in our advertised prices and bills;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law enforcement;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franchise renewals and transfers;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provisioning, marketing and billing of cable, Internet, mobile and voice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protection and practices, including customer and employee privacy and data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royalties for retransmitting broadcast signals;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when a cable system must carry a broadcast station and the circumstances when it first must obtain retransmission consent to carry a broadcast station;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standard that we must use to carry broadcast stations;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enter into exclusive agreements with multiple dwelling unit complexes and control our inside wiring;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opportunity;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resiliency of our networks to maintain service during and after disasters and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alert systems, disability access, pole attachments, commercial leased access and technical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practices, customer service, and consumer protection;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mergers and acquisitions often accompanied by the imposition of restrictions and requirements on an applicant’s business in order to secure approval of the proposed transaction.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our costs or impose additional restrictions on our businesses.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existing legal and regulatory framework under which we operate or the regulatory programs in which we or our competitors participate could adversely affect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have in the past, and could in the future, include, but are not limited to, for example, the reclassification of Internet services as regulated telecommunications services or other utility-style regulation of Internet services; restrictions on how we manage our Internet access services and networks; the adoption of new customer service or service quality requirements for our Internet access services; the adoption of new privacy restrictions on our collection, use and disclosure of certain customer or employee information; new data security and cybersecurity mandates that could result in additional network and information security and cyber incident reporting requirements for our business; new restraints on our discretion over programming decisions; new rules governing broadcast ownership that would result in higher rates for broadcast content; new restrictions on the rates we charge to consumers for one or more of the services or equipment options we offer, including our ability to offer promotions; changes to the cable industry’s compulsory copyright to retransmit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changes to the FCC’s administration of spectrum; and changes in the regulatory framework for VoIP telephone service, including the scope of regulatory obligations associated with our VoIP telephone service and our ability to interconnect our VoIP telephone service with incumbent providers of traditional telecommunications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following the Supreme Court decision that upheld the FCC’s system for funding and administering its Universal Service programs, a new petition for review was filed in the Fifth Circuit challenging two subsections of the statute governing the Universal Service Fund. We cannot predict the outcome of this case or any related actions of Congress and the FCC, which could adversely affect our receipt of universal service funds, including FCC E-rate funds to serve schools and libraries and FCC Rural Health Care funds to serve eligible health care providers.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and past participation in state and federal programs that subsidize network construction in high-cost areas and service to schools or low-income consumers, and the provision of services to government agencies or entities, creates the risk of claims of our failure to adequately comply with the regulatory requirements of those programs or contracts. The FCC and various state and federal agencies and attorney generals may subject those programs, or other industry practices, to audits and investigations, which could result in enforcement actions, litigation, fines, settlements or reputational harm, and/or operational and financial conditions being placed on us, any of which could adversely affect our results of operations and financial condition.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mobile, video or voice services could have a negative impact on our business and results of operations.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the FTC and/or state legislatures or state regulatory agencies, and what operating or financial impact any such rules might have on us, including on the operation of our broadband networks, customer privacy and the user experience.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legislation and administrative initiatives or challenges to our tax and fee positions could adversely affect our results of operations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services and operate cable systems in locations throughout the United States and, as a result, we are subject to the tax laws and regulations of federal, state and local governments. From time to time, legislative and administrative bodies change laws and regulations that change our effective tax rate or tax payments. Certain states and localities have imposed or are considering imposing new or additional taxes or fees on our services or changing the methodologies or base on which certain fees and taxes are computed. Potential changes include additional taxes or fees on our services which could impact our customers, changes to income tax sourcing rules and other changes to general business taxes, central/unit-level assessment of property taxes and other matters that could increase our income, franchise, sales, use and/or property tax liabilities. In addition, federal, state and local tax laws and regulations are extremely complex and subject to varying interpretations. From time to time authorities challenge our tax positions and there can be no assurance that our tax positions will be successful in any such challenge.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cable system franchises are subject to non-renewal or termination and are non-exclusive. The failure to renew a franchise or the grant of additional franchises in one or more service areas could adversely affect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and from time to time some franchisors have alleged that we have not complied with every aspect of our franchising agreements. In many cases, franchises are terminable if the franchisee fails to comply with significant provisions set forth in the franchise agreement governing system operations. Franchises are usually granted for fixed terms and must be periodically renewed. Franchising authorities may resist granting a renewal if either past performance or the prospective operating proposal is considered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although historically we have renewed our franchises without incurring significant costs, we cannot guarantee that we will be able to renew, or to renew as favorably, our franchises in the future. A termination of or a sustained failure to renew a franchise in one or more service areas could adversely affect our business in the affected geographic area.</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on more favorable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Cox Transactions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Cox Transactions are subject to conditions, some or all of which may not be satisfied, or completed on a timely basis, if at all. Failure to complete the Cox Transactions could have a material adverse effect on Charter and its subsidiaries.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Cox Transactions is subject to a number of conditions, including, among other things, (i) the approval of the certificate amendment proposal by the affirmative vote of the holders of a majority of the aggregate voting power of the outstanding shares of Charter Class A common stock and Class B common stock, voting together as a single class; (ii) the approval of the share issuance proposal by the affirmative vote of the holders of a majority of the votes cast by the holders of Charter Class A common stock and Class B common stock, voting together as a single class; (iii) any applicable waiting period (and any extension thereof) under the Hart-Scott-Rodino Antitrust Improvements Act, and any commitments by the parties not to close before a certain date under any timing agreement entered into with a government entity, in each case, with respect to the Cox Transactions shall have expired or been terminated (solely with respect to the obligations of the Charter parties to close, without the imposition of a burdensome condition); (iv) the receipt of certain other required regulatory approvals, including approval of the Federal Communications Commission and certain local franchise authority, state franchising and state public utility commission approvals (solely with respect to the obligations of the Charter parties to close, without the imposition of a burdensome condition); (v) the absence of any law, rule, executive order, decree, judgment, injunction or other order (whether temporary, preliminary or permanent) which makes unlawful, prohibits, delays, enjoins or otherwise prevents or restrains the completion of the Cox Transactions; (vi) each party’s representations and warranties being true and correct (subject to certain materiality and material adverse effect qualifications); (vii) the absence of a material adverse effect on each party; and (viii) each party having performed in all material respects its obligations under the Transaction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parties have agreed in the Transaction Agreement to use reasonable best efforts to satisfy the closing conditions, the parties may not be successful in their efforts to do so. The failure to satisfy all of the required conditions could delay the completion of the Cox Transactions for a significant period of time or prevent completion from occurring at all. Any delay in completing the Cox Transactions could cause us not to realize some or all of the benefits of the Cox Transactions, or realize them on a different timeline than expected. There can be no assurance that the conditions in the Transaction Agreement will be satisfied or (to the extent permitted) waived or that the Cox Transactions will be completed. In addition, subject to limited exceptions, either Charter or Cox Enterprises may terminate the Transaction Agreement if the Cox Transactions have not been consummated by the end date, so long as the terminating party’s failure to comply in all material respects with the Transaction Agreement has not been a primary cause of the failure of the Closing to occur on or before the end date.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Cox Transactions are not completed, Charter and its subsidiaries may be materially adversely affected, without realizing any of the anticipated benefits of having completed the Cox Transactions, and Charter and its subsidiaries will be subject to a number of risks, including the following:</w:t>
      </w:r>
    </w:p>
    <w:p>
      <w:pPr>
        <w:spacing w:after="0" w:line="189"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could owe a substantial termination fee to Cox Enterprises under certain circumstances;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Agreement is terminated and Charter seeks another transaction, Charter may not find a party willing to enter into a transaction on terms comparable to or more attractive than the terms agreed to in the Transaction Agreement;</w:t>
      </w:r>
    </w:p>
    <w:p>
      <w:pPr>
        <w:ind w:left="340" w:hanging="332"/>
        <w:spacing w:after="0" w:line="25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Charter’s and its subsidiaries’ management to matters relating to the Cox Transactions could otherwise have been devoted to pursuing other beneficial opportunities;</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its subsidiaries may experience negative reactions from the financial markets or from customers, suppliers, regulators or employees;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will be required to pay certain costs relating to the Cox Transactions, such as legal, accounting, financial advisory, filing, printing and mailing fees, whether or not the Cox Transactions are completed;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both"/>
        <w:ind w:left="340" w:hanging="332"/>
        <w:spacing w:after="0" w:line="257"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its subsidiaries and Cox Communications are subject to restrictions on the conduct of their respective businesses prior to the Closing, as set forth in the Transaction Agreement, which may prevent Charter and its subsidiaries or Cox Communications, as applicable, from making certain acquisitions or taking other actions during the pendency of the Cox Transactions;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reputational harm due to the adverse perception of any failure to successfully complete the Cox Transactions.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Cox Transactions are not completed, Charter could be subject to litigation related to any failure to complete the Cox Transactions or related to any enforcement proceeding commenced against Charter to perform its obligations under the Transaction Agreement. Any of these risks could materially and adversely impact Charter’s and its subsidiaries’ financial condition, financial results and stock price.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plans for funding the cash consideration and assuming indebtedness of Cox Communications may be adversely affected to the extent there are greater-than-expected increases in our indebtedness, lower-than-expected operating results, credit rating downgrades, or significant financial market disruptions.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Charter is obligated to fund $4.0 billion of cash consideration under the Transaction Agreement which we expect to fund by incurring indebtedness, and expect to assume approximately $12.6 billion of Cox Communications’ outstanding net debt and finance leases in connection with the Cox Transactions, including Cox Communications’ outstanding unsecured notes as of Closing (the “Cox Notes”). The indentures and supplemental indentures governing the Cox Notes contain certain negative covenants, including restrictions on the incurrence of secured indebtedness and indebtedness of restricted subsidiaries. If our indebtedness increases more than expected, our operating results are lower than expected, or significant financial markets disruptions occur, our cash on hand and available liquidity under our existing credit facilities may be insufficient to fund the cash portion of the consideration. Further, completion of the Cox Transactions may constitute a “change of control repurchase event” under the supplemental indentures governing certain of the Cox Notes if, in connection with the Cox Transactions, each of S&amp;P Global Ratings, Moody’s Investors Service, Inc. and Fitch Ratings, Inc. downgrade the credit rating of certain series of Cox Notes to a rating below “investment grade” (regardless of whether the rating prior to such downgrade was “investment grade” or below “investment grade”) prior to 60 days following consummation of a change of control (which period may be extended in certain circumstances). In such a circumstance, Charter (or one of its subsidiaries that, at the time, is the primary obligor of such series of notes) would be required to offer to repurchase each applicable holder’s Cox Notes of such series at a purchase price in cash equal to 101% of the aggregate principal amount of such series of Cox Notes repurchased, plus accrued and unpaid interest. In the event of such ratings downgrades, we may require additional debt financing to fund such repurchases, which may not be available on terms acceptable to us, or at all. A failure to make the applicable change of control offer or to pay the applicable change of control purchase price when due would result in a default in respect of the applicable series of Cox Notes and could result in a default under the terms of other indebtedness of Charter and its subsidiaries.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and Cox Communications are subject to contractual restrictions while the Cox Transactions are pending, which could adversely affect their respective businesses and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Agreement, Charter and its subsidiaries (including CCO Holdings) and Cox Communications are subject to certain restrictions on the conduct of their respective businesses prior to the Closing. Such limitations may affect our or Cox Communications’ ability to execute certain of their business strategies, including the ability in certain cases to incur certain indebtedness or complete certain acquisitions and other transactions, which could adversely affect us or Cox Communications prior to the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described above may be exacerbated by delays or other adverse developments with respect to the completion of the Cox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Cox Transactions.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incur substantial expenses in connection with and as a result of completing the Cox Transactions, including advisory, legal and other transaction costs, and, following the completion of the Cox Transactions, we expect to incur additional expenses in connection with combining the companies. A portion of these costs have already been incurred or will be incurred regardless of whether the Cox Transactions are completed. Factors beyond our control could affect the total amount or timing of these expenses, many of which, by their nature, are difficult to estimate accurately. Our management continues to assess the magnitude of these costs, and additional unanticipated costs may be incurred in connection with the Cox Transactions. Although we expect that the realization of benefits related to the Cox Transactions will offset such costs and expenses over time, no assurances can be made that this net benefit will be achieved in the near term, or at all.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and Liberty Broadband currently have governance rights that give them influence over corporate transactions and other matters. In connection with the Cox Transactions, Liberty Broadband will lose its governance rights (assuming the closing of the Liberty Broadband Combination), A/N’s governance rights will be modified and Cox Enterprises will receive governance rights pursuant to the amended stockholders agreement and amendments to Charter’s governing documents, and Cox Enterprises and A/N will have influence over corporate transactions and other matters.</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Transaction Agreement contemplates that, at the Closing, Charter, A/N and Cox Enterprises will enter into the amended stockholders agreement, which will amend and restate in its entirety the existing stockholders agreement. If the Liberty Broadband Combination is completed, the existing stockholders agreement, which sets forth, among other things, certain of Liberty Broadband’s governance rights with respect to Charter, will terminate with respect to Liberty Broadband. The Liberty Broadband side letter further provides that Liberty Broadband will cause the three Liberty Broadband designees serving on the Board of Directors of Charter to resign effective immediately prior to the effective time of the closing of the Liberty Broadband Combination.</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Charter’s share count as of December 31, 2025, Charter expects that Cox Enterprises will own approximately 25.1% of the combined entity’s diluted shares outstanding, on an as-exchanged, as-converted basis and assuming the contemporaneous closing of the Liberty Broadband Combination. Pursuant to the amended stockholders agreement and the amended certificate of incorporation, the size of the Board of Directors of Charter will continue to be fixed at 13 directors, and at the Closing, the directors then serving as A/N’s designees will continue to serve on the Board of Directors of Charter and three designees selected by Cox Enterprises (with the prior approval of Charter (not to be unreasonably withheld)) will become members of the Board of Directors of Charter. Thereafter, each of Cox Enterprises and A/N will be entitled to designate up to three nominees to be elected to the Board of Directors of Charter provided that each maintains certain specified voting or equity ownership thresholds. Cox Enterprises and A/N will be required to vote (subject to the applicable voting cap) their respective shares of Charter common stock for the director nominees nominated by the nominating committee of the Board of Directors of Charter, including the respective designees of Cox Enterprises and A/N, and against any other nominees, except that, with respect to the directors that were not designated by either Cox Enterprises or A/N (the “Unaffiliated Directors”), Cox Enterprises and A/N must instead vote in the same proportion as the voting securities are voted by stockholders other than Cox Enterprises and A/N or any group (as such term is used in Sections 13(d) and 14(d) of the Securities Exchange Act of 1934, as amended) which includes any of them are voted, if doing so would cause a different outcome with respect to the Unaffiliated Directors. Cox Enterprises and A/N also will have certain committee designation and other governance rights. Additionally, the amended stockholders agreement will provide that each of Cox Enterprises and A/N will be subject to certain limits on acquisitions of Charter shares (30% in the case of Cox Enterprises; 19% in the case of A/N). In addition, any shares owned by Cox Enterprises or A/N in excess of its applicable voting cap (30% in the case of Cox Enterprises; 15% in the case of A/N) must be voted in proportion to the public stockholders of Charter, other than with respect to certain excluded matters.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stockholders agreement will also provide that at the Closing, Alexander C. Taylor, Chairman and Chief Executive Officer of Cox Enterprises, will serve as the Chairman of the Board of Directors of Charter for an initial three-year term (unless Mr. Taylor ceases to serve as a member of the Board of Directors of Charter prior thereto). The lead independent director of the Board of Directors of Charter at the Closing will be Eric L. Zinterhofer, current Non-executive Chairman of the Board of Directors of Charter. Following Mr. Taylor’s term as Chairman, the Board of Directors of Charter will return to its normal annual process. Additionally, following Mr. Taylor’s term as Chairman, Christopher L. Winfrey, the Chief Executive Officer of Charter, will serve as Chairman of the Board of Directors of Charter; provided that if Mr. Winfrey is no longer a member of the Board of Directors of Charter or is unwilling to serve as Chairman, then Mr. Zinterhofer instead will serve as Chairman (subject to his continued membership on the Board of Directors of Charter and willingness to serve).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Closing, Charter will amend its certificate of incorporation and bylaws in order to, among other things, reflect the agreed-upon governance terms to be included in the amended stockholders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their rights under the amended stockholders agreement and their significant equity and voting stakes in Charter, Cox Enterprises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stockholders agreement will provide A/N and Cox Enterprises with preemptive rights with respect to issuances of Charter equity in connection with certain transactions, and in the event that A/N or Cox Enterprises exercises these rights, holders of Charter Class A common stock may experience further dilution.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stockholders agreement will provide that after the Closing, if Charter proposes to issue any equity securities of Charter in a capital raising transaction, each of Cox Enterprises and A/N (for so long as each party’s equity interest in Charter is equal to or greater than 10%), will have the right to purchase, in whole or in part, for cash a number of such securities that will be determined based on such investor’s pro rata equity interest in Charter. The amended stockholders agreement will define a capital raising transaction as any offering of shares of Charter Class A common stock (or any securities convertible into or exchangeable or exercisable for shares of Charter Class A common stock) for cash, whether registered under the Securities Act or otherwise (other than pursuant to a stockholders rights plan).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if Cox Enterprises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integrate Cox Communications’ business within the anticipated time frame, or at all, the anticipated cost savings and other benefits of the Cox Transactions may not be realized fully, or at all, or may take longer to realize than expected. In such circumstances, in the event the Cox Transactions are completed, we may not perform as expected and the value of the Charter Class A common stock may be adversely affected.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Charter and Cox Communications have operated and, until completion of the Cox Transactions will continue to operate, independently, and there can be no assurances that their businesses can be integrated successfully. After the consummation of the Cox Transactions the combined company will have significantly more systems, assets, investments, businesses, customers and employees than each company did prior to the Cox Transactions. It is possible that the integration process could result in the loss of key Charter and/or Cox Communications employees, the loss of subscribers and customers, the disruption of the companies’ ongoing businesses or unexpected integration issues, higher than expected integration costs and an overall post-completion integration process that takes longer than originally anticipated. The process of integrating Cox Communications with the businesses Charter operated prior to the Cox Transactions will require significant capital expenditures and the expansion of certain operations and operating and financial systems. Management of each company will be required to devote a significant amount of time and attention to the integration process before the Cox Transactions are completed. There is a significant degree of difficulty and management involvement inherent in that process. These difficulties include:</w:t>
      </w:r>
    </w:p>
    <w:p>
      <w:pPr>
        <w:spacing w:after="0" w:line="215"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operations and corporate functions;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technologies, networks and customer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the companies’ operating practices, employee development and compensation programs, internal controls and other policies, procedures and processes;</w:t>
      </w:r>
    </w:p>
    <w:p>
      <w:pPr>
        <w:ind w:left="340" w:right="2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and agreements with customers, providers, programmers and other vendors and avoiding delays in entering into new agreements with prospective customers, providers and vendors;</w:t>
      </w: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corporate cultures and management philosophies;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the companies’ administrative and information technology infrastructure;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programming and marketing efforts;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information, purchasing, provisioning, accounting, finance, sales, billing, payroll, reporting and regulatory compliance systems;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unifying the product offerings and services available to customers, including customer premise equipment and video user interfaces;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company than before the completion of the Cox Transactions;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the necessary personnel associated with the acquired assets.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new businesses are successfully integrated, it may not be possible to realize the benefits that are expected to result from the Cox Transactions, or realize these benefits within the time frame that is expected. For example, the elimination of duplicative costs may not be possible or may take longer than anticipated, or the benefits from the Cox Transactions may be offset by costs incurred or delays in integrating the businesses and increased operating costs. If the combined company fails to realize the anticipated benefits from the Cox Transactions, its liquidity, results of operations, financial condition and/or share price may be adversely affected. In addition, at times, the attention of certain members of Charter’s and/or Cox Communications’ management and resources may be focused on the completion of the Cox Transactions and the integration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businesses and diverted from day-to-day business operations, which may disrupt each company’s business and the business of the combined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Charter Class A common stock may decline as a result of the Cox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Charter Class A common stock may decline as a result of the Cox Transactions if, among other things, the costs of the Cox Transactions are greater than expected, we do not achieve the perceived benefits of the Cox Transactions as rapidly or to the extent anticipated by financial or industry analysts or the effect of the Cox Transactions on our financial position, results of operations or cash flows is not consistent with the expectations of financial or industry analysts. Any of these events may make it more difficult for Charter to sell equity or equity-related securities and have an adverse impact on the price of Charter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Cox Transactions raise other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Cox Transactions raise additional risks not described above. For additional information, see the definitive proxy statement with respect to the Cox Transactions, filed by Charter on July 2, 2025, including the sections entitled “Risk Factors” and “Where You Can Find More Information”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Liberty Broadband Combination</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Liberty Broadband Combination is subject to conditions, some or all of which may not be satisfied, or completed on a timely basis, if at all. Failure to complete the Liberty Broadband Combination could have material adverse effects on Charter and its subsidiaries.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completion of the Liberty Broadband Combination is subject to a number of conditions, including, among other things, (i)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voting together as a single class; (ii)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beneficially owned, directly or indirectly, by Liberty Broadband stockholders (other than certain affiliated stockholders), voting together as a single class, which condition cannot be waived; (iii) the approval of the share issuance proposal by the affirmative vote of a majority of the votes cast by holders of Charter common stock at the Charter special meeting; (iv) the approval of the Charter merger proposal by the affirmative vote of the holders of a majority of the aggregate voting power of the outstanding shares of Charter common stock entitled to vote on the proposal at the Charter special meeting, beneficially owned, directly or indirectly, by Charter stockholders (other than certain affiliated stockholders), voting together as a single class, which condition cannot be waived; (v) to the extent applicable, any waiting period (and any extension thereof), and any commitments by the parties not to close before a certain date under a timing agreement entered into with a governmental authority, in each case, in respect of the Liberty Broadband Combination or the conversion of the Liberty Broadband capital stock pursuant to the Merger Agreement under the HSR Act having expired or been granted early termination; (vi) no stop order or proceedings seeking a stop order having been initiated by the SEC and not rescinded with respect to the registration statement on Form S-4, which contains a definitive joint proxy statement/prospectus with respect to the Liberty Broadband Combination, filed by Charter on January 22, 2025; (vii) authorization of listing on the Nasdaq of the shares of Charter Class A common stock and Charter rollover preferred stock to be issued in connection with the Merger; (viii) the absence of any law, order, or other legal restraint or prohibition, entered, enacted, promulgated, enforced or issued by any court or other governmental authority of competent jurisdiction, which prevents, prohibits, renders illegal or enjoins the consummation of the transactions contemplated by the Merger Agreement; (ix) the accuracy of each party’s representations and warranties in the Merger Agreement, subject to certain materiality qualifications; (x) each party’s performance, in all material respects, with its covenants required to be performed by it under the Merger Agreement prior to the closing of the Liberty Broadband Combination; (xi) in respect of Charter’s obligation to effect the closing, the completion of the GCI Divestiture; and (xii) each party’s receipt of a tax opinion, to the effect that, inter alia, the Liberty Broadband Combination will qualify as a “reorganization” within the meaning of Section 368(a) of the Code.</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parties have agreed in the Merger Agreement to use reasonable best efforts to satisfy the closing conditions, the parties may not be successful in their efforts to do so. The failure to satisfy all of the required conditions could delay the completion of the Liberty Broadband Combination for a significant period of time or prevent completion from occurring at all. Any delay in completing the Liberty Broadband Combination could cause Charter not to realize some or all of the benefits,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realize them on a different timeline than expected, that Charter expects to achieve if the Liberty Broadband Combination is successfully completed within the expected timeframe. There can be no assurance that the conditions in the Merger Agreement will be satisfied or (to the extent permitted) waived or that the Liberty Broadband Combination will be completed. In addition, subject to limited exceptions, either Charter or Liberty Broadband may terminate the Merger Agreement if the Liberty Broadband Combination has not been consummated by August 31, 2027 or such other date as mutually agreed.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Liberty Broadband Combination is not completed, Charter and its subsidiaries may be materially adversely affected, without realizing any of the benefits of having completed the Liberty Broadband Combination, and Charter and its subsidiaries will be subject to a number of risks, including the following:</w:t>
      </w:r>
    </w:p>
    <w:p>
      <w:pPr>
        <w:spacing w:after="0" w:line="21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could owe a substantial termination fee to Liberty Broadband under certain circumstances;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Charter seeks another business combination, Charter may not find a party willing to enter into a transaction on terms comparable to or more attractive than the terms agreed to in the Merger Agreement;</w:t>
      </w: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Charter’s and its subsidiaries’ management to matters relating to the Liberty Broadband Combination could otherwise have been devoted to pursuing other beneficial opportunities;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its subsidiaries may experience negative reactions from the financial markets or from customers, suppliers, regulators or employees;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will be required to pay its costs relating to the Liberty Broadband Combination, such as legal, accounting, financial advisory, filing, printing and mailing fees, whether or not the Liberty Broadband Combination is completed;</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and its subsidiaries are subject to restrictions on the conduct of our business prior to the effective time of the closing of the Liberty Broadband Combination, as set forth in the Merger Agreement, which may prevent Charter and its subsidiaries from making certain acquisitions or taking other actions during the pendency of the Liberty Broadband Combination;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perception of any failure to successfully complete the Liberty Broadband Combination.</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if the Liberty Broadband Combination is not completed, Charter could be subject to litigation related to any failure to complete the Liberty Broadband Combination or related to any enforcement proceeding commenced against Charter to perform its obligations under the Merger Agreement. Any of these risks could materially and adversely impact Charter’s and its subsidiaries’ financial condition, financial results and stock price.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contractual restrictions while the Liberty Broadband Combination is pending, which could adversely affect our business and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Charter and its subsidiaries (including CCO Holdings) are subject to a limited set of restrictions on the conduct of its business prior to the effective time of the closing of the Liberty Broadband Combination. Such limitations may affect our ability to execute certain of our business strategies which could adversely affect us prior to the effective time of the closing of the Liberty Broadband Combination. Each of the risks described above may be exacerbated by delays or other adverse developments with respect to the completion of the Liberty Broadband Combination.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Liberty Broadband Combination could divert the attention of management and cause disruptions in our business, which could have an adverse effect on our business and financial results.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may be required to divert a disproportionate amount of attention away from our day-to-day activities and operations and devote time and effort to consummating the Liberty Broadband Combination. The risks, and adverse effects, of such disruptions and diversions could be exacerbated by a delay in the completion of the Liberty Broadband Combination. These factors could adversely affect our financial position or results of operations, regardless of whether the Liberty Broadband Combination is completed.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Liberty Broadband Combination.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incur substantial expenses in connection with and as a result of completing the Liberty Broadband Combination, including advisory, legal and other transaction costs, and, following the completion of the Liberty Broadband Combination, we expect to incur additional expenses in connection with combining the companies. A majority of these costs have already been incurred or will be incurred regardless of whether the Liberty Broadband Combination is completed. Factors beyond our control could affect the total amount or timing of these expenses, many of which, by their nature, are difficult to estimate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accurately. Our management continues to assess the magnitude of these costs, and additional unanticipated costs may be incurred in connection with the Liberty Broadband Combination. Although we expect that the realization of benefits related to the Liberty Broadband Combination will offset such costs and expenses over time, no assurances can be made that this net benefit will be achieved in the near term, or at all.</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repurchases of Liberty Broadband’s shares of Charter Class A common stock during the pendency of the Liberty Broadband Combination are not consummated on the agreed terms, or otherwise fail to meet the intended objectives, there could be adverse effects on the companies and the Liberty Broadband Combination.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Stockholders and Letter Agreement Amendment modifies the terms set forth in the existing letter agreement with respect to Liberty Broadband’s participation in Charter’s share repurchase program during the pendency of the Liberty Broadband Combination. The repurchases of Liberty Broadband’s shares of Charter Class A common stock during such period are intended to facilitate the repayment by Liberty Broadband of certain of its outstanding indebtedness and to allow Liberty Broadband to maintain sufficient liquidity to fund its ongoing operations during the pendency of the Liberty Broadband Combination. If the repurchases are not consummated on the agreed terms, or otherwise fail to meet the intended objectives, there could be adverse effects on the financial position of each of Liberty Broadband and Charter and on the Liberty Broadband Combination.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Charter may fail to realize all of the anticipated benefits of the Liberty Broadband Combination or those benefits may take longer to realize than expected.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full benefits of the Liberty Broadband Combination may not be realized as expected or may not be achieved within the anticipated time frame, or at all. In addition, there may be liabilities that Charter underestimated or did not discover in the course of performing its due diligence investigation of Liberty Broadband.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Liberty Broadband Combination raises other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Liberty Broadband Combination raises additional risks not described above. For additional information, see the definitive joint proxy statement/prospectus with respect to the Liberty Broadband Combination, filed by Charter on January 22, 2025, including the sections entitled “Risk Factors” and “Where You Can Find More Information”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Cybersecurity risks are classified as a Tier 1 risk within our enterprise risk management program. We are committed to protecting the security and integrity of our systems, networks, databases and applications. We routinely invest to develop and implement numerous cybersecurity programs and processes, including risk management and assessment programs, security and event monitoring capabilities, detailed incident response plans, and other advanced detection, prevention and protection capabilities, including practices and tools to monitor and mitigate insider threats. We regularly assess cybersecurity risks to identify and enumerate threats to us and vulnerabilities these threats can exploit to adversely impact our business operations. Regular reviews of these risks and vulnerabilities drive our investment in new controls and technologies. In some instances, we engage third parties to conduct or assist us with conducting cybersecurity risk assessments.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employs various risk-tracking tools, industry data, monitoring, detection and response tools, vulnerability scanning, security dashboards and scorecards and other tools to support our continued evaluation of cybersecurity threats and regulatory requirements. Our cybersecurity program addresses the continuously evolving and extensive attack vectors and methods through layered security controls informed by constant threat analysis. Threats include a wide variety of perpetrators aiming for political, personal or financial gain, utilizing a broad set of tactics including ransomware, advanced malware, DDoS, account takeover, phishing/SMSing, sabatoge and social engineering, among others. These risks threaten our internal systems as well as third-party systems that we use and rely upon for the delivery of services and support of our operations. Our risk mitigation techniques include least privileged access, network segmentation, deployment of enhanced detection tools across our network, systems, databases, and applications and monitoring compliance with security standards all based on a risk-based approach.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including the voluntary framework released by the National Institute for Standards and Technology (“NIST”) in 2014 and updated in 2018 and 2024, in cooperation with other federal agencies and owners and operators of U.S. critical infrastructure. The NIST cybersecurity framework provides a prioritized and flexible model for organizations to identify and manage cyber risks inherent to their business. Our security infrastructure is comprised of multiple security capabilities designed with a defense-in-depth model informed by the NIST cybersecurity framework, as well as a variety of other industry standards and best practices. The risk-based approach of the NIST cybersecurity framework has enabled us to implement cybersecurity programs tailored to our particular network architectures, customer environments and institutional resources.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cybersecurity risk management program, we participate in a variety of industry, governmental, and public-private information sharing channels. While these relationships enhance our situational awareness and provide avenues for cybersecurity information sharing, we may not receive complete or real-time information about all cybersecurity threats or vulnerabilities, including in instances where governmental entities or other external partners are unable to share data due to legal, operational, or security considerations. As a result, there may be circumstances in which our visibility into certain threat vectors is inherently limited. Our governance framework accounts for these constraints by incorporating layered monitoring, independent threat intelligence sources, and escalation protocols designed to mitigate potential lack of visibility and support timely decision-making associated with cybersecurity threats and vulnerabilities.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program also attempts to assess third-party vendor, service provider, business partner and supply chain risk management issues. Our efforts aim to better understand the cybersecurity posture of our third-party vendors, service providers, business partners and suppliers by analyzing their cybersecurity risk management programs and results. Our third-party cybersecurity risk management processes include reviewing and revising our service provider and vendor management programs and the related agreements to require prompt notification of cyber incidents, outages and incidents to facilitate timely assessment, disclosure and action. Generally, our agreements require our third-party providers to abide by specific privacy, confidentiality and security processes, particularly for third-party data-processing activities. For vendors that offer software as a service solutions involving personal information, our third-party risk management program generally requires third-party attestation of their security practices such as a System and Organization Controls 2 report or ISO27001 certification. Our due diligence and selection processes also require third parties to complete a cybersecurity and data privacy questionnaire that includes questions about contractor track record. Our third-party security reviews are limited by their disclosures and specific negotiated contract terms; therefore, a risk-based approach is used in making vendor and contractual decisions based on those disclosures and the totality of the circumstances, such as whether the third party will have access to personal information or our network.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that have materially affected or are reasonably likely to materially affect us, including our business strategy, results of operations and financial condition. For further discussion of cybersecurity risks, see “Part I. Item 1A. Risk Factors – Risks Related to Our Business – Various events could disrupt or result in unauthorized access to our networks, information systems or properties and could impair our operating activities and negatively impact our reputation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objectives are aligned to address our cybersecurity risks and management plays a pivotal role in assessing and managing our material risks from cybersecurity threats. Management’s role in assessing and managing material cybersecurity risks includes various management positions and committees responsible for assessing such risks. Our internal processes require escalation of material cybersecurity risks to our executive leadership and the Board of Directors of Charter, as well as management and committees who are tasked with the prevention, detection, mitigation and remediation of cybersecurity incidents. These processes provide guidance for consistent and effective incident handling and response and set standards for internal notifications and escalations, as well as external notification considerations with respect to a cybersecurity event or incident requiring disclosure or notification to a state and/or federal agency or affected customers.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of Charter has delegated to the Audit Committee oversight of our privacy and data security, including cybersecurity, risk exposures, policies and practices, including the steps management have taken to detect, monitor and control such risks and the potential impact of those exposures on our business, financial results, operations and reputation. Charter's Audit Committee receives quarterly updates on the enterprise risk management program, including information on cybersecurity risks and initiatives undertaken to identify, assess and mitigate such risks. A full cybersecurity review is conducted twice yearly with the Audit Committee and annually with the Board of Directors of Charter. This cybersecurity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reporting may include threat and incident reporting, vulnerability detection reporting, risk mitigation metrics, systems and security operations updates or internal audit observations, if applicable.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unified cybersecurity leadership team, composed of members of our Security Executive Steering Committee (“Security ESC”) to oversee implementation of appropriate cybersecurity protections and promote accountability. The Security ESC is led by senior executives in our technology organization and is comprised of senior executive leaders across the organization with the goal of driving cybersecurity focus through not just technical teams, but the entire business. The Security ESC reviews and evaluates current cyber threats and risks and improvements to our program and provides quarterly updates to the Chief Executive Officer as well as ad hoc updates on urgent matters. We also have a Cyber Security Council (“CSC”) and Security Operations Steering Committee that, under the direction of the Security ESC, collectively focus on cybersecurity across Charter and the overall protection of our internal network and related processes, policy, training and actions to protect customer and employee data. The CSC is comprised of senior leaders across the organization and operates under the auspices of the Security ESC, which is ultimately accountable under our enterprise risk management program for cybersecurity.</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Executive Vice President, Chief Technology and Information Officer leads network technology, software development, security, technical integration, and information technology (“IT”). He has served in various software and engineering roles at Charter since 2016, and has previously held various IT roles, including chief information officer, at other telecommunications companies. Our Executive Vice President, Network Technology Services is responsible for operating our customer product technology infrastructure across our 41-state footprint. He has served in various network operations roles at Charter since 2016 and previously held various engineering roles at other large public companies. Both these leaders collectively oversee our cybersecurity program.</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(“CISO”) is a Certified Information Systems Security Professional and has served in various roles in information security at Charter since 2020. He has over two decades of experience in cybersecurity, corporate security and network operations, including cyber threat intelligence, vulnerability management, security operations, incident response, information security engineering and architecture, risk management and security awareness.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 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our service vehicles. We generally lease space for business offices. Our headend locations are located on owned or leased parcels of land. The physical components of our cable systems require 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legal proceedings information set forth in Note 17 to the accompanying consolidated financial statements contained in “Part II. Item 8. Financial Statements and Supplementary Data” in this Annual Report on Form 10-K is incorporated herein by reference. Within this section, we use a threshold of $1 million in disclosing environmental proceedings involving a governmental authority, if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membership interests are not publicly traded. All of the membership interests of CCO Holdings are owned by CCH I Holdings, LLC. All of the outstanding capital stock of CCO Holdings Capital Corp. is owned by CCO Holdings.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2025 with respect to Charter's equity compensation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0"/>
        </w:trPr>
        <w:tc>
          <w:tcPr>
            <w:tcW w:w="47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gridSpan w:val="2"/>
          </w:tcPr>
          <w:p>
            <w:pPr>
              <w:jc w:val="center"/>
              <w:ind w:lef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38"/>
        </w:trPr>
        <w:tc>
          <w:tcPr>
            <w:tcW w:w="4700" w:type="dxa"/>
            <w:vAlign w:val="bottom"/>
            <w:gridSpan w:val="2"/>
            <w:vMerge w:val="continue"/>
          </w:tcPr>
          <w:p>
            <w:pPr>
              <w:spacing w:after="0"/>
              <w:rPr>
                <w:sz w:val="20"/>
                <w:szCs w:val="20"/>
                <w:color w:val="auto"/>
              </w:rPr>
            </w:pPr>
          </w:p>
        </w:tc>
        <w:tc>
          <w:tcPr>
            <w:tcW w:w="1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17,375,664</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9,585,080</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17,375,664</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9,585,080</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line="229" w:lineRule="auto"/>
        <w:tabs>
          <w:tab w:leader="none" w:pos="3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total does not include 11,539 shares issued pursuant to restricted stock grants made under Charter's 2019 Stock Incentive Plan, which are subject to vesting based on continued service.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under Charter's equity compensation plans, see Note 14 to our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CCO Holdings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broadband connectivity company with services available to 58 million homes and small to large businesses across 41 states through our Spectrum brand.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 Mobile, TV and Voice products. See “Part I. Item 1. Business — Products and Services” for further description of these services, including customer statistics for different services.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added 1.9 million mobile lines while Internet and video losses improved as compared to the prior year period. Sales were challenged by the competitive environment but were offset by lower customer churn. We remain focused on improving customer results through our brand platform, Life Unlimited which emphasizes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Unlimited Spectrum Mobile to offer consumers fast, reliable and secure online connections on their favorite devices at home and on the go in high-value packages. We have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completed deals with major programmers to deliver better flexibility and greater value to our customers by including seamless entertainment applications with certain of our Spectrum TV packages at no additional cost. In July 2025, we began launching the sale of these seamless entertainment applications to customers on an à la carte basis, and we recently launched the Spectrum App Store, a digital storefront that helps customers activate, upgrade, buy and manage their streaming applications in one place. We also continue to evolve other elements of our video product and are deploying Xumo stream boxes to new video customers.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spent $2.2 billion on our subsidized rural construction initiative during the year ended December 31, 2025 and activated approximately 483,000 subsidized rural passings. 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CCO Holdings member plus net income attributable to noncontrolling interest, net interest expense, income taxes, depreciation and amortization, stock compensation expense, other income (expenses), net and other operating expenses, net, such as special charges, merger and acquisition costs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decreased slightly primarily due to lower customers, higher seamless entertainment allocation and lower advertising sales, partly offset by mobile line growth and higher average revenue per customer. Adjusted EBITDA grew slightly with mobile revenues growing at a faster rate than mobile direct costs. Income from operations was further negatively impacted by an increase in loss on disposal of assets and merger and acquisition costs.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89% of our revenues for each of the years ended December 31, 2025 and 2024 are attributable to monthly subscription fees charged to customers for our Internet, mobile, video, voice and commercial services as well as regional sports and news channels. Generally, these customer subscriptions may be discontinued by the customer at any time subject to a fee for certain commercial customers. The remaining 11% of our revenue is derived primarily from advertising revenues, franchise and other regulatory fee revenues (which are collected by us but then paid to local authorities), sales of mobile and video devices, processing fees or reconnection fees charged to customers to commence or reinstate service, installation, VOD and pay-per-view programming, and commissions related to the sale of merchandise by home shopping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accounting policies require our management to make difficult, subjective and/or complex judgments. Management has discussed these policies with the Audit Committee of the Board of Directors of Charter,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0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labor and overhead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impairment of franchises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labor and overhead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Costs associated with network construction or upgrades, placement of the customer drop to the dwelling and the placement of outlets within a dwelling along with the costs associated with the deployment of new customer premise equipment necessary to provide Internet, video or voice services, are capitalized. Costs capitalized include materials, direct labor and certain indirect costs. These indirect costs consist of compensation and overhead costs associated with support functions. While our capitalization is based on specific activities, once capitalized, we track these costs on a composite basis by fixed asset category at the cable system level, and not on a specific asset basis. For assets that are sold or retired, we remove the estimated applicable cost and accumulated depreciation.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and replacement of cable drops and outlets, are capitalized.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judgments regarding the installation and construction activities to be capitalized. We capitalized direct labor and overhead of $2.6 billion and $2.4 billion for the years ended December 31, 2025 and 2024, respectively. We capitalize direct labor and overhead using standards developed from actual costs and applicable operational data. We calculate standards 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costs directly associated with capital projects are capitalized. Capitalizable activities performed in connection with installations include such activities as:</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dispatching a “truck roll” to the customer’s dwelling or business for service connection or placement of new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package and ship new equipment to a customer's home for self-installation;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serviceability to the customer’s dwelling or business (i.e., determining whether the customer’s dwelling is capable of receiving service by our cable network);</w:t>
      </w: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premise activities performed by in-house field technicians and third-party contractors in connection with the installation, replacement and betterment of equipment and materials to enable Internet, video or voice services; and</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integrity of the customer’s network connection by initiating test signals downstream from the headend to the customer premise equipment, as well as testing signal levels at the utility pole or pedestal.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 (ii) direct variable costs associated with capitalizable activities, (iii) the cost of support personnel, such as care personnel and dispatchers, who assist with capitalizable installation activities, and (iv) indirect costs directly attributable to capitalizable activities.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existing capitalization policies are appropriate, a significant change in the nature or extent of our operating practices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of franchises and goodwill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franchise intangibles as of both December 31, 2025 and 2024 was approximately $67.5 billion (representing 44% and 45% of total assets, respectively), and the carrying value of goodwill as of both December 31, 2025 and 2024 was approximately $29.7 billion (representing 20% of total assets).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We have concluded that all of our franchises qualify for indefinite life treatment given that there are no legal, regulatory, contractual, competitive, economic or other factors which limit the period over which these rights will contribute to our cash flows. We reassess this determination periodically or whenever events or substantive changes in circumstances occur.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Franchises are aggregated into essentially inseparable units of accounting to conduct valuations. The franchise units of accounting are geographical clustering of cable systems into groups representing the highest and best use if sold to market participants. We performed a quantitative impairment analysis as of October 31, 2025 utilizing a multi-period excess earnings method, a discounted cash flow income approach which isolates discrete cash flows attributable to the franchise intangibles from the business enterprise cash flows. The income approach incorporated updated projections of the business enterprise cash flows, allocations of cash flows attributable to franchise intangibles, and current market assumptions for growth rates and discount rates. Based on our quantitative analysis, we concluded that the fair value of the franchises in each unit of accounting exceeds the carrying value of such assets by more than 10%.</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also tested for impairment annually or more frequently as warranted by events or changes in circumstances. We have determined that we have one reporting unit for purposes of the assessment of goodwill impairment. As with our franchise impairment testing, we elected to perform a quantitative goodwill impairment analysis as of October 31, 2025. We changed the annual goodwill impairment test date to October 31 from the November 30 date used in the prior year’s qualitative assessment to allow for sufficient time to complete the quantitative analysis in conjunction with the year-end financial reporting process. The quantitative analysis considers whether the carrying amount of a reporting unit exceeds its fair value of the reporting unit, in which case an impairment charge is recorded to the extent the reporting unit’s carrying value exceeds its fair value. As a result of that assessment, we concluded that goodwill is not impaired.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see Note 5 to the accompanying consolidated financial statements contained in “Part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2024 compared to the year ended December 31, 2023 has been omitted from this Annual Report on Form 10-K, but may be found in “Item 7. Management’s Discussion and Analysis of Financial Condition and Results of Operations” in our Annual Report on Form 10-K for the year ended December 31, 2024, filed with the SEC on January 31, 2025, which is available free of charge on the SEC's website at www.sec.gov and on Charter's investor relations website at ir.charter.com.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33,260</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42,020</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196"/>
        </w:trPr>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decreased $311 million or 0.6% during the year ended December 31, 2025 as compared to 2024 primarily due to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higher seamless entertainment allocation and lower advertising sales, partly offset by mobile line growth and higher average revenue per customer.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6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Mobile service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Connectivity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28"/>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29"/>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 business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Mid-market &amp; large business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128"/>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3"/>
        </w:trPr>
        <w:tc>
          <w:tcPr>
            <w:tcW w:w="65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was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785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Internet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(380)</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405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rate step-ups, rate adjustments, and a favorable change in bundled revenue allocation. Residential Internet customers decreased by 393,000 in 2025 compared to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mobile service revenues from our residential customers is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0"/>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mobile lines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714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(35)</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mobile lines increased by 1.8 million in 2025 compared to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video services provided to our residential customers, as well as franchise fees, equipment service fees and video installation revenue. The decrease in video revenues was attributable to the following (dollars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seamless entertainment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Decrease related to rate and product mix changes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2025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1209" w:hanging="1209"/>
        <w:spacing w:after="0"/>
        <w:tabs>
          <w:tab w:leader="none" w:pos="12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w:t>
      </w:r>
    </w:p>
    <w:p>
      <w:pPr>
        <w:spacing w:after="0" w:line="27"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 w:lineRule="exact"/>
        <w:rPr>
          <w:sz w:val="20"/>
          <w:szCs w:val="20"/>
          <w:color w:val="auto"/>
        </w:rPr>
      </w:pPr>
    </w:p>
    <w:p>
      <w:pPr>
        <w:ind w:left="1069" w:hanging="1069"/>
        <w:spacing w:after="0"/>
        <w:tabs>
          <w:tab w:leader="none" w:pos="10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video customers decreased by 255,000 in 2025 compared to 2024. The decrease related to rate and product mix was primarily due to a higher mix of lower priced video packages within our video customer base and more unfavorable bundled revenue allocation, partly offset by promotional rate step-ups and video rate adjustments that pass-through programming rate increases. Seamless entertainment allocation represents costs allocated to programmer streaming applications and netted within video revenue. The growth is due to more seamless entertainment applications and higher activations.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c>
          <w:tcPr>
            <w:tcW w:w="0" w:type="dxa"/>
            <w:vAlign w:val="bottom"/>
          </w:tcPr>
          <w:p>
            <w:pPr>
              <w:spacing w:after="0"/>
              <w:rPr>
                <w:sz w:val="1"/>
                <w:szCs w:val="1"/>
                <w:color w:val="auto"/>
              </w:rPr>
            </w:pP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804,000 in 2025 compared to 2024.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small business revenues is attributable to the following (dollars in millions):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c>
          <w:tcPr>
            <w:tcW w:w="0" w:type="dxa"/>
            <w:vAlign w:val="bottom"/>
          </w:tcPr>
          <w:p>
            <w:pPr>
              <w:spacing w:after="0"/>
              <w:rPr>
                <w:sz w:val="1"/>
                <w:szCs w:val="1"/>
                <w:color w:val="auto"/>
              </w:rPr>
            </w:pP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small business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 business customers decreased by 13,000 in 2025 compared to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Mid-market &amp; large business revenues increased $91 million during the year ended December 31, 2025 as compared to the corresponding period in 2024 primarily due to an increase in Internet PSUs. Mid-market &amp; large business PSUs increased by 17,000 in 2025 compared to 2024.</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decreased $312 million during the year ended December 31, 2025 as compared to the corresponding period in 2024 primarily due to a decrease in political revenue.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approximately $369 million during the year ended December 31, 2025 as compared to the corresponding period in 2024 primarily due to higher mobile device sales.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attributable to the following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residential sales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expenses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Programming costs were approximately $8.8 billion and $9.7 billion for the years ended December 31, 2025 and 2024, representing 27% and 29% of total operating costs and expenses, respectively. Programming costs consist primarily of costs paid to programmers for basic, premium, video on demand, and pay-per-view programming. Programming costs decreased as a result of a higher mix of lower cost video packages within our video customer base and fewer video customers as well as costs allocated to seamless entertainment applications and netted within video revenue, partly offset by contractual rate adjustments, including renewals and increases in amounts paid for retransmission consent.</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$353 million during the year ended December 31, 2025 compared to the corresponding period in 2024 primarily due to higher mobile service direct costs and mobile device sales due to an increase in mobile lines.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residential sales increased $192 million during the year ended December 31, 2025 compared to the corresponding period in 2024 primarily due to a change in sales mix to higher cost sales channels.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Transition expenses represent incremental costs incurred to prepare for the integration of the Cox Transactions’ operations and to bring systems and processes into a uniform operating structure. See Note 3 to the accompanying consolidated financial statements contained in “Part II. Item 8. Financial Statements and Supplementary Data.” for more information.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decreased $92 million during the year ended December 31, 2025 compared to the corresponding period in 2024 primarily due to one-time favorable adjustments of $75 million.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by $38 million during the year ended December 31,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2024 primarily due to an increase in depreciation as a result of more recent capital expenditures, partly offset by certain assets becoming fully depreciated.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expenses, net. </w:t>
            </w:r>
            <w:r>
              <w:rPr>
                <w:rFonts w:ascii="Times New Roman" w:cs="Times New Roman" w:eastAsia="Times New Roman" w:hAnsi="Times New Roman"/>
                <w:sz w:val="18"/>
                <w:szCs w:val="18"/>
                <w:color w:val="auto"/>
              </w:rPr>
              <w:t>Other operating expenses, net increased primarily due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see Note 13 to the accompanying consolidated financial statements contained in “Part II. Item 8. Financial Statements and Supplementary Data.”</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decreased by $188 million in 2025 from 2024 primarily due to a decrease in weighted average interest rates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w:t>
      </w:r>
    </w:p>
    <w:p>
      <w:pPr>
        <w:sectPr>
          <w:pgSz w:w="11900" w:h="16838" w:orient="portrait"/>
          <w:cols w:equalWidth="0" w:num="1">
            <w:col w:w="11240"/>
          </w:cols>
          <w:pgMar w:left="320" w:top="931"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expenses, net. </w:t>
      </w:r>
      <w:r>
        <w:rPr>
          <w:rFonts w:ascii="Times New Roman" w:cs="Times New Roman" w:eastAsia="Times New Roman" w:hAnsi="Times New Roman"/>
          <w:sz w:val="18"/>
          <w:szCs w:val="18"/>
          <w:color w:val="auto"/>
        </w:rPr>
        <w:t>The increase in other expenses, net is attributable to the following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benefit (costs) (see Note 18)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net (see Note 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2025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0" w:lineRule="exact"/>
        <w:rPr>
          <w:sz w:val="20"/>
          <w:szCs w:val="20"/>
          <w:color w:val="auto"/>
        </w:rPr>
      </w:pPr>
    </w:p>
    <w:p>
      <w:pPr>
        <w:ind w:left="1369" w:hanging="1369"/>
        <w:spacing w:after="0"/>
        <w:tabs>
          <w:tab w:leader="none" w:pos="13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7" w:lineRule="exact"/>
        <w:rPr>
          <w:rFonts w:ascii="Times New Roman" w:cs="Times New Roman" w:eastAsia="Times New Roman" w:hAnsi="Times New Roman"/>
          <w:sz w:val="18"/>
          <w:szCs w:val="18"/>
          <w:color w:val="auto"/>
        </w:rPr>
      </w:pPr>
    </w:p>
    <w:p>
      <w:pPr>
        <w:ind w:left="13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w:t>
      </w:r>
    </w:p>
    <w:p>
      <w:pPr>
        <w:spacing w:after="0" w:line="31" w:lineRule="exact"/>
        <w:rPr>
          <w:sz w:val="20"/>
          <w:szCs w:val="20"/>
          <w:color w:val="auto"/>
        </w:rPr>
      </w:pPr>
    </w:p>
    <w:p>
      <w:pPr>
        <w:ind w:left="1369" w:hanging="1369"/>
        <w:spacing w:after="0"/>
        <w:tabs>
          <w:tab w:leader="none" w:pos="13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$20 million and $72 million for the years ended December 31, 2025 and 2024,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more information, see Note 15 to the accompanying consolidated financial statements contained in “Part II. Item 8. Financial Statements and Supplementary Data.”</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relates to our third-party interest in CV of Viera,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LLP, a consolidated joint venture in a small cable system in Florida.</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CCO Holdings member. </w:t>
      </w:r>
      <w:r>
        <w:rPr>
          <w:rFonts w:ascii="Times New Roman" w:cs="Times New Roman" w:eastAsia="Times New Roman" w:hAnsi="Times New Roman"/>
          <w:sz w:val="18"/>
          <w:szCs w:val="18"/>
          <w:color w:val="auto"/>
        </w:rPr>
        <w:t>Net income attributable to CCO Holdings member was $7.4 billion for both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and 2024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CCO Holdings member and net cash flows from operating activities reported in accordance with GAAP. These terms, as defined by us, may not be comparable to similarly titled measures used by other companies. Adjusted EBITDA and free cash flow are reconciled to net income attributable to CCO Holdings member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and the Board of Directors of Charter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 For the purpose of calculating compliance with leverage covenants, we use Adjusted EBITDA, as presented, excluding certain expenses paid by our operating subsidiaries to other Charter entities. Our debt covenants refer to these expenses as management fees, which fees were in the amount of $1.4 billion and $1.5 billion for the years ended December 31, 2025 and 2024, respectively.</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CCO Holdings member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r>
      <w:tr>
        <w:trPr>
          <w:trHeight w:val="230"/>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5"/>
        </w:trPr>
        <w:tc>
          <w:tcPr>
            <w:tcW w:w="7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2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(11,624)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(11,269)</w:t>
            </w:r>
          </w:p>
        </w:tc>
      </w:tr>
      <w:tr>
        <w:trPr>
          <w:trHeight w:val="230"/>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amounts of debt and require significant cash to fund principal and interest payments on our debt. The principal amount of our debt as of December 31, 2025 was $94.6 billion, consisting of $11.9 billion of credit facility debt, $55.4 billion of investment grade senior secured notes and $27.3 billion of high-yield senior unsecured notes. Our split credit rating allows us to access both the investment grade debt and the high yield debt markets.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Free cash flow was $5.8 billion and $5.7 billion for the years ended December 31, 2025 and 2024, respectively. See table below for factors impacting free cash flow during the year ended December 31, 2025 compared to 2024. As of December 31, 2025, the amount available under our credit facilities was approximately $4.4 billion and cash on hand was approximately $218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distributions to parent companies for stock repurchases and dividends. Charter's leverage ratio of net debt to the last twelve months Adjusted EBITDA was 4.15 times as of December 31, 2025. Charter plans to maintain a leverage ratio, pro forma for the closing of the Liberty Broadband Combination near the midpoint of its stated range of 4.0 to 4.5 times Adjusted EBITDA in the period leading up to the Closing, and up to 3.5 times Adjusted EBITDA at the Charter Operating first lien level. Charter plans to adjust its long-term target leverage range after the Closing to 3.5 to 3.75 times Adjusted EBITDA. As Adjusted EBITDA grows, we expect to increase the total amount of our indebtedness to maintain leverage within Charter's target leverage range.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purchases from Liberty Broadband discussed below, during the years ended December 31, 2025 and 2024, Charter purchased in the public market approximately 12.3 million and 2.7 million shares, respectively, of Charter Class A common stock for approximately $3.8 billion and $822 million, respectively. Since the beginning of its buyback program in September 2016 through the year ended December 31, 2025, Charter has purchased in the public market approximately 179.7 million shares of Class A common stock and Charter Holdings common units for approximately $78.8 billion, including purchases from Liberty Broadband and A/N discussed below.</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12, 2024, Charter and Liberty Broadband entered into the Stockholders and Letter Agreement Amendment. The Stockholders and Letter Agreement Amendment sets forth, among other things, the terms of Liberty Broadband’s participation in Charter’s share repurchases during the period between the execution of the Merger Agreement and the effective time of the Merger.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an unrestricted cash balance of Liberty Broadband and its subsidiaries (other than GCI Holdings, LLC, GCI Spinco (as defined in the Merger Agreement) and their respective subsidiaries) of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 During the years ended December 31, 2025 and 2024, Charter purchased from Liberty Broadband 3.8 million and 1.0 million shares of Charter Class A common stock for approximately $1.2 billion and $335 million, respectively.</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The right to participate pro rata in repurchases on the terms and conditions set forth in the A/N Repurchase Letter Amendment is effective only from the earlier of the Closing and, in the event the Transaction Agreement is terminated in accordance with its terms, the date of such termination (such earlier date, the “Trigger Date”). Prior to the Trigger Date, the Existing A/N Letter Agreement will remain in full force and continue to govern A/N’s participation in Charter’s share repurchases, except for certain specific amendments set forth in the A/N Repurchase Letter Amendment which became effective upon execution of the A/N Repurchase Letter Amendment, including, in certain circumstances, where A/N elects not to participate in redemptions by Charter Holdings because such participation would cause A/N’s equity interest in Charter to be less than 11% prior to the Trigger Date, A/N may, subject to certain conditions, elect to receive a tax loan from Charter Holdings on the terms set forth in the A/N Repurchase Letter Amendment and in definitive documents in form and substance reasonably satisfactory to Charter and A/N. During the years ended December 31, 2025 and 2024, Charter Holdings purchased from A/N 1.0 million and 0.6 million Charter Holdings common units, respectively, for approximately $373 million and $189 million, respectively.</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Charter had remaining board authority to purchase an additional $212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 To the extent such purchases occur, CCO Holdings and its subsidiaries are the primary source for funding such purchases through distributions to their parent companies.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including the Cox Transactions, dispositions or system swaps, or that any such transactions will be material to our operations or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contains numerous business tax provisions, including business extenders made permanent such as restoration of 100% bonus depreciation, IRC Section 174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expensing for US-based research, and the EBITDA-based business interest expense limitation under IRC Section 163(j). We do not expect the OBBBA to have a material impact to income tax expense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increased $118 million during the year ended December 31, 2025 compared to the corresponding prior period due to the following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2025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mobile devices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paid for interest, net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excluding mobile devices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Information about Guarantors, Issuers of Guaranteed Securities, Affiliates Whose Securities Collateralize a Registrant’s Securities and Consolidated Subsidiaries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CCO Holdings, Charter Operating, Time Warner Cable, LLC and Time Warner Cable Enterprises LLC (collectively, the “Issuers”) and substantially all of Charter Operating’s direct and indirect subsidiaries (the “Obligor Subsidiaries” and together with the Issuers, collectively, the “Obligor Group” and each an “Obligor”) jointly, severally, fully and unconditionally guarantee the outstanding debt securities of the respective Issuers (other than the CCO Holdings unsecured notes) and Charter Operating’s credit facilities on a senior basis (collectively, the “Guaranteed and Secured Debt”). Such guarantees are pari passu in right of payment with all senior indebtedness of the guarantors and senior in right of payment to subordinated obligations of the guarantors. Each guarantee will be limited to the maximum amount that can be guaranteed by the relevant guarantor without rendering the relevant guarantee, as it relates to that guarantor, voidable or otherwise ineffective or limited under applicable law, and enforcement of each guarantee would be subject to certain generally available defenses. The Guaranteed and Secured Debt is structurally subordinated to the creditors (including trade creditors) and preference shareholders (if any) of Charter Operating’s non-guarantor subsidiaries.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Guaranteed and Secured Debt and the subsidiary guarantees thereof are also secured by (i) a lien on substantially all of the assets of Charter Operating and the Obligor Subsidiaries, to the extent such lien can be perfected under the Uniform Commercial Code by the filing of a financing statement, and (ii) a pledge of substantially all of the equity interests of subsidiaries owned by Charter Operating or the Obligor Subsidiaries (the “Pledged Equity Interests”), as well as intercompany obligations owing to it by any of such entities ((i) and (ii) collectively, the “Collateral”). In addition, payments of a mortgage note, currently outstanding for approximately $265 million, incurred by a single-asset special purpose entity to finance construction of the first building of the Charter headquarters in Stamford, Connecticut are guaranteed by the Obligor Group and rank equally with the liens on the Collateral securing the Guaranteed and Secured Debt. No assets of any of Charter Operating’s non-guarantor subsidiaries (including any capital stock owned by any such subsidiary) will constitute Collateral. The subsidiary guarantees are effectively senior to all unsecured debt or debt secured by junior liens of the subsidiary guarantors, in each case to the extent of the value of the collateral securing the guarantee obligations of the subsidiary guarantors. Upon the occurrence and during the continuance of an event of default under the Guaranteed and Secured Debt, subject to the terms of an intercreditor agreement, the security documents governing the Guaranteed and Secured Debt provide for (among other available remedies) the foreclosure upon and sale of the Collateral by the collateral agent(s) of the respective Guaranteed and Secured Debt and the distribution of the net proceeds of any such sale to the holders and/or the lenders of the Guaranteed and Secured Debt on a pro rata basis, subject to any prior liens on the Collateral. We believe there is no separate trading market for the Pledged Equity Interests.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presently expect that after the Closing: (i) the outstanding unsecured notes issued by Cox Communications that will be assumed at the Closing will constitute Guaranteed and Secured Debt and (ii) Cox Communications and, subject to certain exceptions, substantially all of its subsidiaries will become Obligors. Additionally, all or a portion of the $4 billion of indebtedness issued to finance the cash payment under the Cox Transactions may constitute Guaranteed and Secured Debt when issued.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Certain Charter Operating subsidiaries that are regulated entities are only designated as guarantor subsidiaries, and certain related assets (including the capital stock of such regulated entities) are only required to be pledged as Collateral, upon approval by regulators. The guaranteed obligations and collateral of an Obligor Subsidiary (including Pledged Equity Interests) may be released under certain circumstances permitted under the documentation governing the Guaranteed and Secured Debt, including if an Obligor Subsidiary no longer qualifies as a “Subsidiary” of Charter Operating under transactions not prohibited by the Charter Operating credit agreement.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bankruptcy remote special purpose vehicle and consolidated subsidiary, CCO EIP Financing, LLC, (the “SPV Borrower”) is the borrower of a senior secured revolving credit facility to finance the purchase of equipment installment plan receivables (“EIP Receivables”) with a number of financial institutions (the “EIP Financing Facility”). Borrowings under the EIP Financing Facility are secured by the EIP Receivables transferred to the SPV Borrower, future collections on such EIP Receivables, and related assets consisting primarily of restricted cash. We and our other subsidiaries do not guarantee any principal or interest payable by SPV Borrower under the EIP Financing Facility and SPV Borrower is not a guarantor of the Guaranteed and Secured Debt. As of December 31, 2025, the carrying value of the EIP Financing Facility was $1.4 billion and is reflected on our consolidated balance sheets. As of December 31, 2025, pledged EIP Receivables with an unpaid principal balance of $2.2 billion, included in accounts receivable, net and other noncurrent assets, and restricted cash of $121 million, included in prepaid expenses and other current assets, are held by the SPV Borrower and reflected on our consolidated balance sheets.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to the consolidated financial statements contained in “Part II. Item 8.Financial Statements and Supplementary Data” for further details about the terms, conditions and other factors that may affect payments to holders and the collateral arrangements of the Guaranteed and Secured Debt.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Because the assets, liabilities and results of operations of the combined Obligor Group are not materially different than corresponding amounts presented in the consolidated financial statements of CCO Holdings, summarized financial information of the Obligor Group have been omitted pursuant to SEC Regulation S-X Rule 13-01, </w:t>
      </w:r>
      <w:r>
        <w:rPr>
          <w:rFonts w:ascii="Times New Roman" w:cs="Times New Roman" w:eastAsia="Times New Roman" w:hAnsi="Times New Roman"/>
          <w:sz w:val="18"/>
          <w:szCs w:val="18"/>
          <w:i w:val="1"/>
          <w:iCs w:val="1"/>
          <w:color w:val="auto"/>
        </w:rPr>
        <w:t>Financial Statements of Guarantors and Issuers of Guaranteed Securities Registered or Being Registered</w:t>
      </w:r>
      <w:r>
        <w:rPr>
          <w:rFonts w:ascii="Times New Roman" w:cs="Times New Roman" w:eastAsia="Times New Roman" w:hAnsi="Times New Roman"/>
          <w:sz w:val="18"/>
          <w:szCs w:val="18"/>
          <w:color w:val="auto"/>
        </w:rPr>
        <w:t xml:space="preserve"> and S-X Rule 13-02, </w:t>
      </w:r>
      <w:r>
        <w:rPr>
          <w:rFonts w:ascii="Times New Roman" w:cs="Times New Roman" w:eastAsia="Times New Roman" w:hAnsi="Times New Roman"/>
          <w:sz w:val="18"/>
          <w:szCs w:val="18"/>
          <w:i w:val="1"/>
          <w:iCs w:val="1"/>
          <w:color w:val="auto"/>
        </w:rPr>
        <w:t>Affiliates Whose Securities Collateralize Securities Registered Or Being Registered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$218 million and $254 million in cash and cash equivalents as of December 31, 2025 and 2024, respectively.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we held $121 million and $47 million in restricted cash included in prepaid and other current assets in our consolidated balance sheets as of December 31, 2025 and 2024, respectively.</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increased $983 million during the year ended December 31, 2025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2024, primarily due to a decrease in cash paid for interest, an increase in Adjusted EBITDA and the payment of litigation settlements in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$11.3 billion and $10.6 billion for the years ended December 31, 2025 and 2024, respectively.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used was primarily due to an increase in capital expenditures and changes in accrued expenses related to capital expenditures.</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$102 million during the year ended December 31, 2025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primarily due to an increase in distributions to parent companies and decrease in borrowings under the EIP Financing Facility, partly offset by an increase in the amount by which borrowings of long-term debt exceeded repayments.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$11.6 billion and $11.3 billion for the years ended December 31, 2025 and 2024, respectively. The increase was primarily driven by an increase in support capital, higher spend on network evolution and an increase in scalable infrastructure spend, partly offset by a decrease in line extensions. See the table below for more details.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expect full year 2026 capital expenditures to total approximately $11.4 billion. The actual amount of capital expenditures in 2026 will depend on a number of factors including, but not limited to, the pace of our network evolution and expansion initiatives, supply chain timing and residential and business growth rates.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$586 million and $1.1 billion for the years ended December 31, 2025 and 2024,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years ended December 31, 2025 and 2024.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29"/>
        </w:trPr>
        <w:tc>
          <w:tcPr>
            <w:tcW w:w="80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9"/>
        </w:trPr>
        <w:tc>
          <w:tcPr>
            <w:tcW w:w="8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30"/>
        </w:trPr>
        <w:tc>
          <w:tcPr>
            <w:tcW w:w="80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r>
      <w:tr>
        <w:trPr>
          <w:trHeight w:val="88"/>
        </w:trPr>
        <w:tc>
          <w:tcPr>
            <w:tcW w:w="8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Subsidized rural construction line extensions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30"/>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line extensions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line extensions </w:t>
            </w:r>
            <w:r>
              <w:rPr>
                <w:rFonts w:ascii="Times New Roman" w:cs="Times New Roman" w:eastAsia="Times New Roman" w:hAnsi="Times New Roman"/>
                <w:sz w:val="23"/>
                <w:szCs w:val="23"/>
                <w:color w:val="auto"/>
                <w:vertAlign w:val="superscript"/>
              </w:rPr>
              <w:t>(e)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11,624</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11,269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5"/>
        </w:trPr>
        <w:tc>
          <w:tcPr>
            <w:tcW w:w="80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services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8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Subsidized rural construction initiative </w:t>
            </w:r>
            <w:r>
              <w:rPr>
                <w:rFonts w:ascii="Times New Roman" w:cs="Times New Roman" w:eastAsia="Times New Roman" w:hAnsi="Times New Roman"/>
                <w:sz w:val="23"/>
                <w:szCs w:val="23"/>
                <w:color w:val="auto"/>
                <w:vertAlign w:val="superscript"/>
              </w:rPr>
              <w:t>(f)</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bl>
    <w:p>
      <w:pPr>
        <w:spacing w:after="0" w:line="319" w:lineRule="exact"/>
        <w:rPr>
          <w:sz w:val="20"/>
          <w:szCs w:val="20"/>
          <w:color w:val="auto"/>
        </w:rPr>
      </w:pPr>
    </w:p>
    <w:p>
      <w:pPr>
        <w:ind w:left="340" w:hanging="332"/>
        <w:spacing w:after="0" w:line="22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1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or our network, to secure growth of new customers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our network evolution initiative.</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1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subsidized rural construction initiative subcategory includes projects for which we are receiving subsidies from federal, state and local governments, excluding customer premise equipment and installation.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accreted value of our total debt was approximately $94.8 billion, as summarized below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CCO Holdings, LLC:</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Accreted Value </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2026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5.125% senior notes due 2027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2/1/2028</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5.375%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6.375%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9/1/2029</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&amp; 8/15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8/15/2030</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4.250% senior notes due 2031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4.750% senior notes due 2032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5/1/2032</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4.500% senior notes due 2033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2034</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&amp; 7/15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1/15/2034</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Communications Operating, LLC:</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senior notes due 2028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&amp; 8/15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2/15/2028</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&amp; 9/15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2.250%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&amp; 7/15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5.050%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&amp; 9/30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6.100%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2.800% senior notes due 2031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 senior notes due 2032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2/1/2032</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4.400% senior notes due 2033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6.650% senior notes due 2034</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2/1/2034</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6.550% senior notes due 2034</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6.384% senior notes due 2035</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&amp; 10/23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10/23/2035</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5.850% senior notes due 2035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12/1/2035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5.375% senior notes due 2038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4/1/2038</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3.500% senior notes due 2041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6/1/2041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senior notes due 2042</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3/1/2042</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6.484% senior notes due 2045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&amp; 10/23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10/23/2045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5.375% senior notes due 2047</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5/1/2047</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5.750% senior notes due 2048</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4/1/2048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senior notes due 2049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&amp; 7/1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7/1/2049</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4.800% senior notes due 2050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3/1/2050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3.700% senior notes due 2051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4/1/2051</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3.900% senior notes due 2052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6/1/2052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5.250% senior notes due 2053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4/1/2053</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6.834% senior notes due 2055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&amp; 10/23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10/23/2055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6.700% senior notes due 2055</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12/1/2055</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3.850% senior notes due 2061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2061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12/1/2061</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3.950% senior notes due 2062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&amp; 12/30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6/30/2062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2063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&amp; 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4/1/2063</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facilities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LLC:</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5.750% sterling senior notes due 2031 </w:t>
            </w:r>
            <w:r>
              <w:rPr>
                <w:rFonts w:ascii="Times New Roman" w:cs="Times New Roman" w:eastAsia="Times New Roman" w:hAnsi="Times New Roman"/>
                <w:sz w:val="23"/>
                <w:szCs w:val="23"/>
                <w:color w:val="auto"/>
                <w:vertAlign w:val="superscript"/>
              </w:rPr>
              <w:t>(c)</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6.550% senior debentures due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5/1/2037</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7.300% senior debentures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7/1/2038</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 senior debentures due 2039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6/15 &amp; 12/15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6/15/2039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5.875% senior debentures due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5/15 &amp; 11/15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11/15/2040</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debentures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9/1/2041</w:t>
            </w:r>
          </w:p>
        </w:tc>
      </w:tr>
      <w:tr>
        <w:trPr>
          <w:trHeight w:val="229"/>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5.250% sterling senior notes due 2042 </w:t>
            </w:r>
            <w:r>
              <w:rPr>
                <w:rFonts w:ascii="Times New Roman" w:cs="Times New Roman" w:eastAsia="Times New Roman" w:hAnsi="Times New Roman"/>
                <w:sz w:val="23"/>
                <w:szCs w:val="23"/>
                <w:color w:val="auto"/>
                <w:vertAlign w:val="superscript"/>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debentures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9/15/2042</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Enterprises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7/15/2033</w:t>
            </w:r>
          </w:p>
        </w:tc>
      </w:tr>
      <w:tr>
        <w:trPr>
          <w:trHeight w:val="223"/>
        </w:trPr>
        <w:tc>
          <w:tcPr>
            <w:tcW w:w="4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94,756</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4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42" w:lineRule="auto"/>
        <w:tabs>
          <w:tab w:leader="none" w:pos="335"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 into US dollars as of each balance sheet date. We had availability under our credit facilities of approximately $4.4 billion as of December 31, 2025.</w:t>
      </w:r>
    </w:p>
    <w:p>
      <w:pPr>
        <w:spacing w:after="0" w:line="4" w:lineRule="exact"/>
        <w:rPr>
          <w:rFonts w:ascii="Times New Roman" w:cs="Times New Roman" w:eastAsia="Times New Roman" w:hAnsi="Times New Roman"/>
          <w:sz w:val="23"/>
          <w:szCs w:val="23"/>
          <w:color w:val="auto"/>
          <w:vertAlign w:val="superscript"/>
        </w:rPr>
      </w:pPr>
    </w:p>
    <w:p>
      <w:pPr>
        <w:jc w:val="both"/>
        <w:ind w:left="340" w:right="20" w:hanging="332"/>
        <w:spacing w:after="0" w:line="229" w:lineRule="auto"/>
        <w:tabs>
          <w:tab w:leader="none" w:pos="32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w:t>
      </w:r>
    </w:p>
    <w:p>
      <w:pPr>
        <w:ind w:left="320" w:hanging="312"/>
        <w:spacing w:after="0" w:line="196" w:lineRule="auto"/>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£625 million valued at $842 million as of December 31, 2025 using the exchange rate as of December 31, 2025.</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£650 million valued at $876 million as of December 31, 2025 using the exchange rate as of December 31,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Charter Operating and Charter Communications Operating Capital Corp. paid in full all of their outstanding 4.908% senior secured notes due 2025 at maturity.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Charter Operating and Charter Communications Operating Capital Corp. jointly issued $1.25 billion of 5.850% senior secured notes due December 2035 at a price of 99.932% of the aggregate principal amount and $750 million of 6.700% senior secured notes due December 2055 at a price of 99.832% of the aggregate principal amount. The net proceeds were used for general corporate purposes, including to repay certain indebtedness, including Charter Operating’s 6.150% senior secured notes due 2026, to fund potential buybacks of Charter Class A common stock and Charter Holdings common units, and to pay related fees and expenses.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CCO Holdings and CCO Holdings Capital Corp. jointly issued $1.75 billion aggregate principal amount of 7.000% senior notes due February 2033 at par and $1.25 billion aggregate principal amount of 7.375% senior notes due February 2036 at par. The net proceeds will be used for general corporate purposes, including to repay certain indebtedness, including the call of $750 million of CCO Holdings 5.500% senior notes due 2026 and partial call of $2.25 billion of CCO Holdings 5.125% senior notes due 2027.</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Note 9 to the accompanying consolidated financial statements contained in “Part II. Item 8. Financial Statements and Supplementary Data” for further details regarding our outstanding debt and other financing arrangements, including certain information about maturities, covenants and restrictions related to such debt and financing arrangements. The agreements and instruments governing our debt and financing arrangements are complicated and you should consult such agreements and instruments which are filed with the SEC for more detailed information. See also “Part I. Item 1A. Risk Factors — The agreements and instruments governing our debt contain restrictions and limitations that could significantly affect our ability to operate our business, as well as significantly affect our liquidity.”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19 to the accompanying consolidated financial statements contained in “Part II. Item 8. Financial Statements and Supplementary Data”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7" w:name="page58"/>
    <w:bookmarkEnd w:id="57"/>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our cross-currency derivatives included in other long-term liabilities on our consolidated balance sheets was $406 million and $504 million as of December 31, 2025 and 2024, respectively. For more information, see Note 11 to the accompanying consolidated financial statements contained in “Part II. Item 8. Financial Statements and Supplementary Data.”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weighted average interest rate on the credit facility debt was approximately 5.6% and 6.3%, respectively, and the weighted average interest rate on the senior notes was approximately 5.1% and 5.0%, respectively, resulting in a blended weighted average interest rate of 5.1% and 5.2%, respectively. The interest rate on approximately 87% and 89% of the total principal amount of our debt was fixed as of December 31, 2025 and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set forth below summarizes the fair values and contract terms of financial instruments subject to interest rate risk maintained by 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73,664</w:t>
            </w:r>
          </w:p>
        </w:tc>
      </w:tr>
      <w:tr>
        <w:trPr>
          <w:trHeight w:val="213"/>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1"/>
        </w:trPr>
        <w:tc>
          <w:tcPr>
            <w:tcW w:w="2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642</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8,068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2,350</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w:t>
            </w:r>
          </w:p>
        </w:tc>
      </w:tr>
      <w:tr>
        <w:trPr>
          <w:trHeight w:val="219"/>
        </w:trPr>
        <w:tc>
          <w:tcPr>
            <w:tcW w:w="2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variable-rate debt are estimated using the average implied forward Secured Overnight Financing Rate (“SOFR”) for the year of maturity based on the yield curve in effect at December 31, 2025 including applicable bank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the related notes thereto, and the report of independent registered public accounting firm are included in this annual report beginning on page 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the design and operation of disclosure controls and procedures with respect to the information generated for use in this annual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we believe that our controls provide such reasonable assurances.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there was no change in our internal control over financial reporting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our management and Board of Directors regarding the preparation and fair presentation of published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as of December 31, 2025.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management’s assessment utilizing these criteria we believe that, as of December 31, 2025, our internal control over financial reporting was effective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25, 2025, Christopher L. Winfrey, President and Chief Executive Officer, adopted a trading plan intended to satisfy the affirmative defense of Rule 10b5-1(c) to (1) sell, on June 18, 2026, a number of shares of Charter Class A common stock under his beneficial ownership equal to 90% of the number of shares that would be received by Mr. Winfrey upon a net settlement exercise (covering exercise price and tax withholding) of stock options to purchase 497,309 shares of Charter Class A common stock with an exercise price of $221.25 on the June 17, 2026 expiration date of such stock options (such number of shares that would be received by Mr. Winfrey upon the net settlement exercise, the “Net Settled Share Amount”) and (2) gift to a donor advised fund, on June 18, 2026, a number of shares of Charter Class A common stock under his beneficial ownership equal to 10% of the Net Settled Share Amount. At the time of entering the 10b5-1 plan the stock price was lower than the exercise price of the expiring options.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Firm</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KPMG acted as Charter and its subsidiaries' independent registered public accounting firm since 2002, and, subject to ratification by stockholders at Charter's annual meeting, KPMG is expected to serve as our independent registered public accounting firm for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of Independent Registered Public Accounting Firm</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Charter's Audit Committee has adopted policies and procedures requiring the pre-approval of non-audit services that may be provided by our independent registered public accounting firm. We have also complied and will continue to comply with the provisions of the Sarbanes-Oxley Act of 2002 and the related SEC rules pertaining to auditor independence and audit committee pre-approval of audit and non-audit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we incurred fees and related expenses for professional services rendered by KPMG for the audits of Charter and its subsidiaries’ financial statements (including CCO Holdings), for the review of Charter and its subsidiaries’ interim financial statements (including CCO Holdings), registration statement filings and offering memoranda filings totaling approximately $8 million and $7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Charter did not incur any audit-related fees during the year ended December 31, 2025 and incurred approximately $0.2 million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incurred tax fees to KPMG of approximately $1 million during each of the years ended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incurred other fees of approximately $0.1 million during the year ended December 31, 2025 and none during the year ended December 31, 2024.</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Charter's Audit Committee appoints, retains, compensates and oversees the independent registered public accounting firm (subject, if applicable, to board of director and/or stockholder ratification), and approves in advance all fees and terms for the audit engagement and non-audit engagements where non-audit services are not prohibited by Section 10A of the Securities Exchange Act of 1934, as amended, with respect to independent registered public accounting firms. Pre-approvals of non-audit services are sometimes delegated to a single member of Charter's Audit Committee. However, any pre-approvals made by Charter's Audit Committee’s designee are presented at Charter's Audit Committee’s next regularly scheduled meeting. Charter's Audit Committee has an obligation to consult with management on these matters. Charter's Audit Committee approved 100% of the KPMG fees for the years ended December 31, 2025 and 2024. Each year, including 2025, with respect to the audit engagement, Charter's Audit Committee reviews the risk assessment process in establishing the scope of examination and the reports to be rendered.</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its capacity as a committee of the board, Charter's Audit Committee oversees the work of the independent registered public accounting firm (including resolution of disagreements between management and the public accounting firm regarding financial reporting) for the purpose of preparing or issuing an audit report or performing other audit, review or attest services. The independent registered public accounting firm reports directly to Charter's Audit Committee. In performing its functions, Charter's Audit Committee undertakes those tasks and responsibilities that, in its judgment, most effectively contribute to and implement the purposes of Charter's Audit Committee charter. For more detail of Charter's Audit Committee’s authority and responsibilities, see Charter's Audit Committee charter on Charter's website, ir.charter.com.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 listing of the financial statements, notes and report of independent public accountants required by "Part II. Item 8. Financial Statements and Supplementary Data" begins on page F-1 of this annual report.</w:t>
      </w:r>
    </w:p>
    <w:p>
      <w:pPr>
        <w:spacing w:after="0" w:line="189"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required to be filed by Items 8 and 15(c) because they are not required or are not applicable, or the required information is set forth in the applicable financial statements or notes thereto.</w:t>
      </w:r>
    </w:p>
    <w:p>
      <w:pPr>
        <w:spacing w:after="0" w:line="18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index to the exhibits begins on page E-1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CCO Holdings, LLC and CCO Holdings Capital Corp. have duly caused this annual report to be signed on their behalf by the undersigned, thereunto duly authorized.</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By:</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CCO Holdings, LLC and CCO Holdings Capital Corp. and in the capacities and on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L. Winfrey</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L. Winfrey</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4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Jessica M. Fischer</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Jessica M. Fischer</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5"/>
        </w:trPr>
        <w:tc>
          <w:tcPr>
            <w:tcW w:w="4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19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January 30, 2026</w:t>
            </w:r>
          </w:p>
        </w:tc>
      </w:tr>
      <w:tr>
        <w:trPr>
          <w:trHeight w:val="228"/>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5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and Controller (Principal Accounting Officer)</w:t>
            </w: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22"/>
        </w:trPr>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CHARTER COMMUNICATIONS, INC., in its sole capacity as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manager of CCO Holdings, LLC</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 January 30, 2026</w:t>
            </w:r>
          </w:p>
        </w:tc>
        <w:tc>
          <w:tcPr>
            <w:tcW w:w="1140" w:type="dxa"/>
            <w:vAlign w:val="bottom"/>
          </w:tcPr>
          <w:p>
            <w:pPr>
              <w:spacing w:after="0"/>
              <w:rPr>
                <w:sz w:val="20"/>
                <w:szCs w:val="20"/>
                <w:color w:val="auto"/>
              </w:rPr>
            </w:pPr>
          </w:p>
        </w:tc>
        <w:tc>
          <w:tcPr>
            <w:tcW w:w="6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r>
        <w:trPr>
          <w:trHeight w:val="648"/>
        </w:trPr>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S-1</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listed by numbers corresponding to the Exhibit Table of Item 601 in Regulation S-K.</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Agreement and Plan of Mergers, dated as of May 23, 2015, among Time Warner Cable Inc., Charter Communications, Inc., CCH I, LLC,</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Nina Corporation I, Inc., Nina Company II, LLC and Nina Company III, LLC (incorporated by reference to Exhibit 2.1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Report on Form 8-K filed by Charter Communications, Inc. on May 29,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Contribution Agreement, dated March 31, 2015, by and among Advance/Newhouse Partnership, A/NPC Holdings LLC,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Communications, Inc., CCH I, LLC, and Charter Communications Holding Company, LLC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gridSpan w:val="30"/>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the Current Report on Form 8-K filed by Charter Communications, Inc. on April 1,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Agreement and Plan of Merger, dated as of November 12, 2024, by and among Charter Communications, Inc., Liberty Broadband</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Corporation, Fusion Merger Sub 1, LLC and Fusion Merger Sub 2, Inc. (incorporated by reference to Exhibit 2.1 to the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Form 8-K filed by Charter Communications, Inc. on November 13, 2024 (File No. 001-33664)).</w:t>
              </w:r>
            </w:hyperlink>
          </w:p>
        </w:tc>
        <w:tc>
          <w:tcPr>
            <w:tcW w:w="310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Transaction Agreement, dated as of May 16, 2025, by and among Charter Communications, Inc., Charter Communications Holdings,</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LLC and Cox Enterprises, Inc. (incorporated by reference to Exhibit 2.1 to the Current Report on Form 8-K filed by Charter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Communications, Inc. on May 19, 2025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Formation of CCO Holdings, LLC, as amended (incorporated herein by reference to Exhibit 3.5 to CCO Holdings, LLC’s</w:t>
              </w:r>
            </w:hyperlink>
          </w:p>
        </w:tc>
      </w:tr>
      <w:tr>
        <w:trPr>
          <w:trHeight w:val="155"/>
        </w:trPr>
        <w:tc>
          <w:tcPr>
            <w:tcW w:w="126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Registration Statement on Form S-4 filed with the SEC on October 7, 2016 (File No. 333-214024)).</w:t>
              </w:r>
            </w:hyperlink>
          </w:p>
        </w:tc>
        <w:tc>
          <w:tcPr>
            <w:tcW w:w="28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Second Amended and Restated Limited Liability Company Agreement of CCO Holdings, LLC (incorporated herein by reference to</w:t>
              </w:r>
            </w:hyperlink>
          </w:p>
        </w:tc>
      </w:tr>
      <w:tr>
        <w:trPr>
          <w:trHeight w:val="156"/>
        </w:trPr>
        <w:tc>
          <w:tcPr>
            <w:tcW w:w="126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Exhibit 3.6 to CCO Holdings, LLC’s Registration Statement on Form S-4 filed with the SEC on October 7, 2016 (File No. 333-214024)).</w:t>
              </w:r>
            </w:hyperlink>
          </w:p>
        </w:tc>
        <w:tc>
          <w:tcPr>
            <w:tcW w:w="1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Certificate of Incorporation of CCO Holdings Capital Corp. (incorporated by reference to Exhibit 3.3 to the</w:t>
              </w:r>
            </w:hyperlink>
          </w:p>
        </w:tc>
      </w:tr>
      <w:tr>
        <w:trPr>
          <w:trHeight w:val="156"/>
        </w:trPr>
        <w:tc>
          <w:tcPr>
            <w:tcW w:w="12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annual report on Form 10-K of CCO Holdings, LLC and CCO Holdings Capital Corp. filed on March 30, 2010 (File No. 333-112593)).</w:t>
              </w:r>
            </w:hyperlink>
          </w:p>
        </w:tc>
        <w:tc>
          <w:tcPr>
            <w:tcW w:w="5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By-laws of CCO Holdings Capital Corp. (incorporated by reference to Exhibit 3.6 to the registration statement on Form S-4 of CCO</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Holdings, LLC and CCO Holdings Capital Corporation filed on February 6, 2004 (File No. 333-112593))</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Second Amended and Restated Stockholders Agreement, dated May 23, 2015, by and among Charter Communications, Inc., CCH I,</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LLC, Liberty Broadband Corporation and Advance/Newhouse Partnership (incorporated by reference to Annex C to the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Statement on Form S-4 filed by CCH I, LLC on June 26, 2015 (File No. 333-205240)).</w:t>
              </w:r>
            </w:hyperlink>
          </w:p>
        </w:tc>
        <w:tc>
          <w:tcPr>
            <w:tcW w:w="39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Charter Communications, Inc. Retirement Accumulation Plan (incorporated by reference to Exhibit 4.3 to the Registration Statement on</w:t>
              </w:r>
            </w:hyperlink>
          </w:p>
        </w:tc>
      </w:tr>
      <w:tr>
        <w:trPr>
          <w:trHeight w:val="155"/>
        </w:trPr>
        <w:tc>
          <w:tcPr>
            <w:tcW w:w="12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Form S-8 filed by Charter Communications, Inc. on March 28, 2024 (File No. 001-33664)).</w:t>
              </w:r>
            </w:hyperlink>
          </w:p>
        </w:tc>
        <w:tc>
          <w:tcPr>
            <w:tcW w:w="344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Indenture dated as of November 5, 2014, by and among CCO Holdings, LLC, CCO Holdings Capital Corp. and CCOH Safari, LLC, as</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Issuers, Charter Communications, Inc., as Parent Guarantor, and The Bank of New York Mellon Trust Company, N.A., as Trustee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(incorporated by reference to Exhibit 4.1 to the Current Report on Form 8-K filed by Charter Communications, Inc. on November 10,</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2014 (File No. 001-33664)).</w:t>
              </w:r>
            </w:hyperlink>
          </w:p>
        </w:tc>
        <w:tc>
          <w:tcPr>
            <w:tcW w:w="80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Indenture, dated as of July 23, 2015, among Charter Communications Operating, LLC, Charter Communications Operating Capital Corp.</w:t>
              </w:r>
            </w:hyperlink>
          </w:p>
        </w:tc>
      </w:tr>
      <w:tr>
        <w:trPr>
          <w:trHeight w:val="155"/>
        </w:trPr>
        <w:tc>
          <w:tcPr>
            <w:tcW w:w="1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and CCO Safari II, LLC, as issuers, and The Bank of New York Mellon Trust Company, N.A., as trustee and collateral agent</w:t>
              </w:r>
            </w:hyperlink>
          </w:p>
        </w:tc>
        <w:tc>
          <w:tcPr>
            <w:tcW w:w="140" w:type="dxa"/>
            <w:vAlign w:val="bottom"/>
            <w:tcBorders>
              <w:bottom w:val="single" w:sz="8" w:color="0000FF"/>
            </w:tcBorders>
            <w:gridSpan w:val="7"/>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(incorporated by reference to Exhibit 4.1 to the Current Report on Form 8-K filed by Charter Communications, Inc. on July 27, 2015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340" w:type="dxa"/>
            <w:vAlign w:val="bottom"/>
            <w:gridSpan w:val="35"/>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First Supplemental Indenture, dated as of July 23, 2015, among CCO Safari II, LLC, as escrow issuer, CCH II, LLC, as limited guarantor,</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and The Bank of New York Mellon Trust Company, N.A., as trustee and collateral agent (incorporated by reference to Exhibit 4.2 to the</w:t>
              </w:r>
            </w:hyperlink>
          </w:p>
        </w:tc>
        <w:tc>
          <w:tcPr>
            <w:tcW w:w="100" w:type="dxa"/>
            <w:vAlign w:val="bottom"/>
            <w:gridSpan w:val="5"/>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Current Report on Form 8-K filed by Charter Communications, Inc. on July 27, 2015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700" w:type="dxa"/>
            <w:vAlign w:val="bottom"/>
            <w:gridSpan w:val="6"/>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360" w:type="dxa"/>
            <w:vAlign w:val="bottom"/>
            <w:gridSpan w:val="3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6.384% Senior Secured Notes due 2035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10"/>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300" w:type="dxa"/>
            <w:vAlign w:val="bottom"/>
            <w:gridSpan w:val="33"/>
          </w:tcPr>
          <w:p>
            <w:pPr>
              <w:ind w:left="2180"/>
              <w:spacing w:after="0"/>
              <w:rPr>
                <w:sz w:val="20"/>
                <w:szCs w:val="20"/>
                <w:color w:val="auto"/>
              </w:rPr>
            </w:pPr>
            <w:r>
              <w:rPr>
                <w:rFonts w:ascii="Times New Roman" w:cs="Times New Roman" w:eastAsia="Times New Roman" w:hAnsi="Times New Roman"/>
                <w:sz w:val="18"/>
                <w:szCs w:val="18"/>
                <w:color w:val="auto"/>
              </w:rPr>
              <w:t>E-1</w:t>
            </w:r>
          </w:p>
        </w:tc>
      </w:tr>
      <w:tr>
        <w:trPr>
          <w:trHeight w:val="358"/>
        </w:trPr>
        <w:tc>
          <w:tcPr>
            <w:tcW w:w="1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6.484% Senior Secured Notes due 2045 (incorporated by reference to Exhibit 4.7 to the Current Report on Form 8-K filed by</w:t>
              </w:r>
            </w:hyperlink>
          </w:p>
        </w:tc>
      </w:tr>
      <w:tr>
        <w:trPr>
          <w:trHeight w:val="156"/>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6.834% Senior Secured Notes due 2055 (incorporated by reference to Exhibit 4.8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Indenture, dated as of November 20, 2015, among CCO Holdings, LLC, CCO Holdings Capital Corp. and CCOH Safari, LLC, as issuers,</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The Bank of New York Mellon Trust Company, N.A., as trustee (incorporated by reference to Exhibit 4.1 to the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94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8-K filed by Charter Communications, Inc. on November 25, 2015 (File No. 001-33664)).</w:t>
              </w:r>
            </w:hyperlink>
          </w:p>
        </w:tc>
        <w:tc>
          <w:tcPr>
            <w:tcW w:w="332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Seventh Supplemental Indenture, dated as of April 21, 2016, among CCO Holdings, LLC, CCO Holdings Capital Corp., Charter</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Communications, Inc., as guarantor, and The Bank of New York Mellon Trust Company, N.A.,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gridSpan w:val="35"/>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Exhibit 4.1 to the Current Report on Form 8-K filed by Charter Communications, Inc. on April 27,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5.500% Senior Notes due 2026 (incorporated herein by reference to Exhibit 4.2 to the Current Report on Form 8-K of Charter</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Communications, Inc. filed April 27,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Second Supplemental Indenture, dated as of May 18, 2016, by and among Charter Communications Operating, LLC,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Communications Operating Capital Corp., CCO Safari II, LLC and The Bank of New York Mellon Trust Company, N.A., as trustee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gridSpan w:val="18"/>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collateral agent (incorporated by reference to Exhibit 4.1 to the Current Report on Form 8-K filed by Charter Communications, Inc.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May 24, 2016 (File No. 001-33664)).</w:t>
              </w:r>
            </w:hyperlink>
          </w:p>
        </w:tc>
        <w:tc>
          <w:tcPr>
            <w:tcW w:w="72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Third Supplemental Indenture, dated as of May 18, 2016, by and among CCO Holdings, LLC, the subsidiary guarantors party thereto and</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The Bank of New York Mellon Trust Company, N.A., as trustee and collateral agent (incorporated by reference to Exhibit 4.2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Current Report on Form 8-K filed by Charter Communications, Inc. on May 24, 2016 (File No. 001-33664)).</w:t>
              </w:r>
            </w:hyperlink>
          </w:p>
        </w:tc>
        <w:tc>
          <w:tcPr>
            <w:tcW w:w="23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Second Supplemental Indenture, dated as of May 18, 2016, by and among CCO Holdings, LLC, CCO Holdings Capital Corp., CCOH</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Safari, LLC and The Bank of New York Mellon Trust Company, N.A., as trustee (incorporated by reference to Exhibit 4.3 to the Current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22"/>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Fourth  Supplemental  Indenture,  dated  as  of  November  1,  2016,  among  Charter  Communications  Operating,  LLC,  Charter</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Communications Operating Capital Corp., as issuers, CCO Holdings, LLC, as parent guarantor, the subsidiary guarantors party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gridSpan w:val="37"/>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and The Bank of New York Mellon Trust Company, N.A., as trustee and collateral agent (incorporated by reference to Exhibit 4.5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Registration Statement on Form S-4 filed by CCO Holdings, LLC on October 6, 2017 (File No. 333-220863)).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Third Supplemental Indenture, dated as of February 6, 2017, among CCO Holdings, LLC, CCO Holdings Capital Corp., and The Bank of</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New York Mellon Trust Company, N.A., as trustee (incorporated herein by reference to Exhibit 4.1 to the Current Report on Form 8-K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98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filed by Charter Communications, Inc. on February 6, 2017 (File No. 001-33664)).</w:t>
              </w:r>
            </w:hyperlink>
          </w:p>
        </w:tc>
        <w:tc>
          <w:tcPr>
            <w:tcW w:w="4440" w:type="dxa"/>
            <w:vAlign w:val="bottom"/>
            <w:gridSpan w:val="30"/>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5.125% Senior Notes due 2027 (incorporated herein by reference to Exhibit 4.2 to the Current Report on Form 8-K filed by</w:t>
              </w:r>
            </w:hyperlink>
          </w:p>
        </w:tc>
      </w:tr>
      <w:tr>
        <w:trPr>
          <w:trHeight w:val="155"/>
        </w:trPr>
        <w:tc>
          <w:tcPr>
            <w:tcW w:w="124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Charter Communications, Inc. on February 6, 2017 (File No. 001-33664))</w:t>
              </w:r>
            </w:hyperlink>
          </w:p>
        </w:tc>
        <w:tc>
          <w:tcPr>
            <w:tcW w:w="480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Fifth Supplemental Indenture, dated as of April 20, 2017, among Charter Communications Operating, LLC, Charter Communications</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6"/>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agent (incorporated by reference to Exhibit 4.3 to the Current Report on Form 8-K filed by Charter Communications, Inc. on April 26,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2017 (File No. 001-33664)).</w:t>
              </w:r>
            </w:hyperlink>
          </w:p>
        </w:tc>
        <w:tc>
          <w:tcPr>
            <w:tcW w:w="818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5.375% Senior Secured Notes due 2047 (incorporated by reference to Exhibit 4.4 to the Current Report on Form 8-K filed by</w:t>
              </w:r>
            </w:hyperlink>
          </w:p>
        </w:tc>
      </w:tr>
      <w:tr>
        <w:trPr>
          <w:trHeight w:val="156"/>
        </w:trPr>
        <w:tc>
          <w:tcPr>
            <w:tcW w:w="124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Charter Communications, Inc. on April 26, 2017 (File No. 001-33664))</w:t>
              </w:r>
            </w:hyperlink>
          </w:p>
        </w:tc>
        <w:tc>
          <w:tcPr>
            <w:tcW w:w="47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Sixth Supplemental Indenture, dated as of July 6, 2017, among Charter Communications Operating, LLC, Charter Communications</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4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agent (incorporated by reference to Exhibit 4.3 to the Current Report on Form 8-K filed by Charter Communications, Inc. on July 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2017 (File No. 001-33664)).</w:t>
              </w:r>
            </w:hyperlink>
          </w:p>
        </w:tc>
        <w:tc>
          <w:tcPr>
            <w:tcW w:w="824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3.750% Senior Secured Notes due 2028 (incorporated by reference to Exhibit 4.4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Charter Communications, Inc. on July 12, 2017 (File No. 001-33664)).</w:t>
              </w:r>
            </w:hyperlink>
          </w:p>
        </w:tc>
        <w:tc>
          <w:tcPr>
            <w:tcW w:w="48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340" w:type="dxa"/>
            <w:vAlign w:val="bottom"/>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Supplemental Indenture, dated as of August 8, 2017, among CCO Holdings, LLC, CCO Holdings Capital Corp. and The Bank of</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New York Mellon Trust Company, N.A., as trustee (incorporated by reference to Exhibit 4.1 to the Current Report on Form 8-K filed by</w:t>
              </w:r>
            </w:hyperlink>
          </w:p>
        </w:tc>
        <w:tc>
          <w:tcPr>
            <w:tcW w:w="160" w:type="dxa"/>
            <w:vAlign w:val="bottom"/>
            <w:tcBorders>
              <w:bottom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3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Charter Communications, Inc. on August 14, 2017 (File No. 001-33664)).</w:t>
              </w:r>
            </w:hyperlink>
          </w:p>
        </w:tc>
        <w:tc>
          <w:tcPr>
            <w:tcW w:w="5000" w:type="dxa"/>
            <w:vAlign w:val="bottom"/>
            <w:gridSpan w:val="2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5.000% Senior Notes due 2028 (incorporated by reference to Exhibit 4.2 to the Current Report on Form 8-K filed by Charter</w:t>
              </w:r>
            </w:hyperlink>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Communications, Inc. on August 14, 2017 (File No. 001-33664)).</w:t>
              </w:r>
            </w:hyperlink>
          </w:p>
        </w:tc>
        <w:tc>
          <w:tcPr>
            <w:tcW w:w="5240" w:type="dxa"/>
            <w:vAlign w:val="bottom"/>
            <w:tcBorders>
              <w:top w:val="single" w:sz="8" w:color="0000FF"/>
            </w:tcBorders>
            <w:gridSpan w:val="13"/>
          </w:tcPr>
          <w:p>
            <w:pPr>
              <w:spacing w:after="0"/>
              <w:rPr>
                <w:sz w:val="13"/>
                <w:szCs w:val="13"/>
                <w:color w:val="auto"/>
              </w:rPr>
            </w:pPr>
          </w:p>
        </w:tc>
        <w:tc>
          <w:tcPr>
            <w:tcW w:w="400" w:type="dxa"/>
            <w:vAlign w:val="bottom"/>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0440" w:type="dxa"/>
            <w:vAlign w:val="bottom"/>
            <w:gridSpan w:val="3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Seventh Supplemental Indenture, dated as of September 18, 2017, among Charter Communications Operating, LLC, Charter</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Communications Operating Capital Corp., the guarantors party thereto and The Bank of New York Mellon Trust Company, N.A., as</w:t>
              </w:r>
            </w:hyperlink>
          </w:p>
        </w:tc>
        <w:tc>
          <w:tcPr>
            <w:tcW w:w="420" w:type="dxa"/>
            <w:vAlign w:val="bottom"/>
            <w:tcBorders>
              <w:bottom w:val="single" w:sz="8" w:color="0000FF"/>
            </w:tcBorders>
            <w:gridSpan w:val="21"/>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trustee and collateral agent (incorporated by reference to Exhibit 4.3 to the Current Report on Form 8-K filed by Charter</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Communications, Inc. on September 21,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4.25</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4.200% Senior Secured Notes due 2028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Charter Communications, Inc. on September 21, 2017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4.26</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Eighth  Supplemental  Indenture,  dated  as  of  December  21,  2017,  among  Charter  Communications  Operating,  LLC,  Charter</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Communications Operating Capital Corp., CCO Holdings, LLC, the subsidiary guarantor parties thereto and The Bank of New York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gridSpan w:val="29"/>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Mellon Trust Company, N.A., as trustee (incorporated by reference to Exhibit 4.5 to Form S-3 filed by Charter Communications, Inc.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32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December 22, 2017 (File No. 333-222241)).</w:t>
              </w:r>
            </w:hyperlink>
          </w:p>
        </w:tc>
        <w:tc>
          <w:tcPr>
            <w:tcW w:w="68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4.27</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Ninth Supplemental Indenture, dated as of April 17,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3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Charter Communications, Inc. on April 20, 2018 (File No. 001-33664)).</w:t>
              </w:r>
            </w:hyperlink>
          </w:p>
        </w:tc>
        <w:tc>
          <w:tcPr>
            <w:tcW w:w="50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5.375% Senior Secured Notes due 2038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Charter Communications, Inc. on April 20, 2018 (File No. 001-33664)).</w:t>
              </w:r>
            </w:hyperlink>
          </w:p>
        </w:tc>
        <w:tc>
          <w:tcPr>
            <w:tcW w:w="4460" w:type="dxa"/>
            <w:vAlign w:val="bottom"/>
            <w:tcBorders>
              <w:top w:val="single" w:sz="8" w:color="0000FF"/>
            </w:tcBorders>
            <w:gridSpan w:val="8"/>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5.750% Senior Secured Notes due 2048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Charter Communications, Inc. on April 20, 2018 (File No. 001-33664)).</w:t>
              </w:r>
            </w:hyperlink>
          </w:p>
        </w:tc>
        <w:tc>
          <w:tcPr>
            <w:tcW w:w="4460" w:type="dxa"/>
            <w:vAlign w:val="bottom"/>
            <w:tcBorders>
              <w:top w:val="single" w:sz="8" w:color="0000FF"/>
            </w:tcBorders>
            <w:gridSpan w:val="8"/>
          </w:tcPr>
          <w:p>
            <w:pPr>
              <w:spacing w:after="0"/>
              <w:rPr>
                <w:sz w:val="13"/>
                <w:szCs w:val="13"/>
                <w:color w:val="auto"/>
              </w:rPr>
            </w:pP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Eleventh Supplemental Indenture dated as of July 27, 2018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Operating Capital Corp., CCO Holdings, LLC, the subsidiary guarantors party thereto and The Bank of New York Mellon Trust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Company, N.A., as trustee and collateral agent (incorporated by reference to Exhibit 4.7 to Form S-3 filed by Charter Communications,</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60" w:type="dxa"/>
            <w:vAlign w:val="bottom"/>
            <w:gridSpan w:val="2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Inc. on October 30, 2023 (File No. 333-275214-116)).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Twelfth  Supplemental  Indenture,  dated  as  of  January  17,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York Mellon Trust Company, N.A., as trustee and collateral agent (incorporated by reference to Exhibit 4.4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8-K filed by Charter Communications, Inc. on January 24, 2019 (File No. 001-33664)).</w:t>
              </w:r>
            </w:hyperlink>
          </w:p>
        </w:tc>
        <w:tc>
          <w:tcPr>
            <w:tcW w:w="3820" w:type="dxa"/>
            <w:vAlign w:val="bottom"/>
            <w:tcBorders>
              <w:top w:val="single" w:sz="8" w:color="0000FF"/>
            </w:tcBorders>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5.050% Senior Secured Notes due 2029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Charter Communications, Inc. on January 24, 2019 (File No. 001-33664)).</w:t>
              </w:r>
            </w:hyperlink>
          </w:p>
        </w:tc>
        <w:tc>
          <w:tcPr>
            <w:tcW w:w="4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Indenture, dated as of May 23, 2019, among CCO Holdings, LLC, CCO Holdings Capital Corp. and The Bank of New York Mellon Trust</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Company, N.A., as trustee (incorporated by reference to Exhibit 4.1 to the Current Report on Form 8-K filed by Charter Communications,</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 on May 30, 2019 (File No. 001-33664)).</w:t>
              </w:r>
            </w:hyperlink>
          </w:p>
        </w:tc>
        <w:tc>
          <w:tcPr>
            <w:tcW w:w="2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Supplemental Indenture, dated as of May 23, 2019,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3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Charter Communications, Inc. on May 30, 2019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5.375% Senior Notes due 2029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Communications, Inc. on May 30, 2019 (File No. 001-33664)).</w:t>
              </w:r>
            </w:hyperlink>
          </w:p>
        </w:tc>
        <w:tc>
          <w:tcPr>
            <w:tcW w:w="20" w:type="dxa"/>
            <w:vAlign w:val="bottom"/>
          </w:tcPr>
          <w:p>
            <w:pPr>
              <w:spacing w:after="0"/>
              <w:rPr>
                <w:sz w:val="13"/>
                <w:szCs w:val="13"/>
                <w:color w:val="auto"/>
              </w:rPr>
            </w:pPr>
          </w:p>
        </w:tc>
        <w:tc>
          <w:tcPr>
            <w:tcW w:w="28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Thirteenth Supplemental Indenture dated as of June 21, 2019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Trust Company, N.A., as trustee and collateral agent (incorporated by reference to Exhibit 4.8 to Form S-3 filed by Charter</w:t>
              </w:r>
            </w:hyperlink>
          </w:p>
        </w:tc>
        <w:tc>
          <w:tcPr>
            <w:tcW w:w="160" w:type="dxa"/>
            <w:vAlign w:val="bottom"/>
            <w:tcBorders>
              <w:bottom w:val="single" w:sz="8" w:color="0000FF"/>
            </w:tcBorders>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300" w:type="dxa"/>
            <w:vAlign w:val="bottom"/>
            <w:gridSpan w:val="3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Communications, Inc. on October 30, 2023 (File No. 333-275214-116)).</w:t>
              </w:r>
            </w:hyperlink>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Fourteenth  Supplemental  Indenture,  dated  as  of  July  10,  2019,  among  Charter  Communications  Operating,  LLC,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380" w:type="dxa"/>
            <w:vAlign w:val="bottom"/>
            <w:gridSpan w:val="19"/>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60" w:type="dxa"/>
            <w:vAlign w:val="bottom"/>
            <w:gridSpan w:val="8"/>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8-K filed by Charter Communications, Inc. on July 10, 2019 (File No. 001-33664)).</w:t>
              </w:r>
            </w:hyperlink>
          </w:p>
        </w:tc>
        <w:tc>
          <w:tcPr>
            <w:tcW w:w="4080" w:type="dxa"/>
            <w:vAlign w:val="bottom"/>
            <w:tcBorders>
              <w:top w:val="single" w:sz="8" w:color="0000FF"/>
            </w:tcBorders>
            <w:gridSpan w:val="13"/>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5.125% Senior Secured Notes due 2049 (incorporated by reference to Exhibit 4.6 to the Current Report on Form 8-K filed by</w:t>
              </w:r>
            </w:hyperlink>
          </w:p>
        </w:tc>
      </w:tr>
      <w:tr>
        <w:trPr>
          <w:trHeight w:val="156"/>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Charter Communications, Inc. on July 10, 2019 (File No. 001-33664)).</w:t>
              </w:r>
            </w:hyperlink>
          </w:p>
        </w:tc>
        <w:tc>
          <w:tcPr>
            <w:tcW w:w="4520" w:type="dxa"/>
            <w:vAlign w:val="bottom"/>
            <w:tcBorders>
              <w:top w:val="single" w:sz="8" w:color="0000FF"/>
            </w:tcBorders>
            <w:gridSpan w:val="9"/>
          </w:tcPr>
          <w:p>
            <w:pPr>
              <w:spacing w:after="0"/>
              <w:rPr>
                <w:sz w:val="13"/>
                <w:szCs w:val="13"/>
                <w:color w:val="auto"/>
              </w:rPr>
            </w:pPr>
          </w:p>
        </w:tc>
        <w:tc>
          <w:tcPr>
            <w:tcW w:w="700" w:type="dxa"/>
            <w:vAlign w:val="bottom"/>
            <w:gridSpan w:val="2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Second Supplemental Indenture, dated as of October 1, 2019,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Charter Communications, Inc. on October 7, 2019).</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40" w:type="dxa"/>
            <w:vAlign w:val="bottom"/>
            <w:gridSpan w:val="23"/>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4.750%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Communications, Inc. on October 7, 2019 (File No. 001-33664)).</w:t>
              </w:r>
            </w:hyperlink>
          </w:p>
        </w:tc>
        <w:tc>
          <w:tcPr>
            <w:tcW w:w="400" w:type="dxa"/>
            <w:vAlign w:val="bottom"/>
            <w:gridSpan w:val="20"/>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gridSpan w:val="6"/>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40" w:type="dxa"/>
            <w:vAlign w:val="bottom"/>
            <w:gridSpan w:val="2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Fifteenth  Supplemental  Indenture,  dated  as  of  October  24,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320" w:type="dxa"/>
            <w:vAlign w:val="bottom"/>
            <w:gridSpan w:val="1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60" w:type="dxa"/>
            <w:vAlign w:val="bottom"/>
            <w:gridSpan w:val="8"/>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8-K filed by Charter Communications, Inc. on October 30, 2019 (File No. 001-33664)).</w:t>
              </w:r>
            </w:hyperlink>
          </w:p>
        </w:tc>
        <w:tc>
          <w:tcPr>
            <w:tcW w:w="3800" w:type="dxa"/>
            <w:vAlign w:val="bottom"/>
            <w:tcBorders>
              <w:top w:val="single" w:sz="8" w:color="0000FF"/>
            </w:tcBorders>
            <w:gridSpan w:val="11"/>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4.800% Senior Secured Notes due 2050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Charter Communications, Inc. on October 30, 2019 (File No. 001-33664)).</w:t>
              </w:r>
            </w:hyperlink>
          </w:p>
        </w:tc>
        <w:tc>
          <w:tcPr>
            <w:tcW w:w="4540" w:type="dxa"/>
            <w:vAlign w:val="bottom"/>
            <w:tcBorders>
              <w:top w:val="single" w:sz="8" w:color="0000FF"/>
            </w:tcBorders>
            <w:gridSpan w:val="6"/>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34"/>
          </w:tcPr>
          <w:p>
            <w:pPr>
              <w:ind w:left="340"/>
              <w:spacing w:after="0"/>
              <w:rPr>
                <w:sz w:val="20"/>
                <w:szCs w:val="20"/>
                <w:color w:val="auto"/>
              </w:rPr>
            </w:pPr>
            <w:r>
              <w:rPr>
                <w:rFonts w:ascii="Times New Roman" w:cs="Times New Roman" w:eastAsia="Times New Roman" w:hAnsi="Times New Roman"/>
                <w:sz w:val="18"/>
                <w:szCs w:val="18"/>
                <w:color w:val="auto"/>
              </w:rPr>
              <w:t>E-3</w:t>
            </w:r>
          </w:p>
        </w:tc>
      </w:tr>
      <w:tr>
        <w:trPr>
          <w:trHeight w:val="358"/>
        </w:trPr>
        <w:tc>
          <w:tcPr>
            <w:tcW w:w="12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Third Supplemental Indenture, dated as of February 18, 2020,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20"/>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 Charter Communications, Inc. on February 21,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4.500% Senior Notes due 2030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Communications, Inc. on February 21,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Fourth Supplemental Indenture, dated as of March 18, 2020,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New York Mellon Trust Company, N.A., as trustee (incorporated by reference to Exhibit 4.4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25"/>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Charter Communications, Inc. on March 23,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4.500% Senior Notes due 2032 (incorporated by reference to Exhibit 4.5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Inc. on March 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Sixteenth Supplemental Indenture, dated as of April 17, 2020,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Charter Communications, Inc. on April 17, 2020 (File No. 001-33664)).</w:t>
              </w:r>
            </w:hyperlink>
          </w:p>
        </w:tc>
        <w:tc>
          <w:tcPr>
            <w:tcW w:w="498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2.800% Senior Secured Notes due 2031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3.700% Senior Secured Notes due 2051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Fifth Supplemental Indenture, dated as of July 9, 2020, among CCO Holdings, LLC, CCO Holdings Capital Corp. and The Bank of New</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Charter Communications, Inc. on July 13, 2020 (File No. 001-33664)).</w:t>
              </w:r>
            </w:hyperlink>
          </w:p>
        </w:tc>
        <w:tc>
          <w:tcPr>
            <w:tcW w:w="48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4.250% Senior Notes due 2031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Communications, Inc. on July 13, 2020 (File No. 001-33664)).</w:t>
              </w:r>
            </w:hyperlink>
          </w:p>
        </w:tc>
        <w:tc>
          <w:tcPr>
            <w:tcW w:w="54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Seventeenth Supplemental Indenture dated as of November 19, 2020 among Charter Communications Operating, LLC, Charter</w:t>
              </w:r>
            </w:hyperlink>
          </w:p>
        </w:tc>
      </w:tr>
      <w:tr>
        <w:trPr>
          <w:trHeight w:val="156"/>
        </w:trPr>
        <w:tc>
          <w:tcPr>
            <w:tcW w:w="126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Communications Operating Capital Corp., CCO Holdings, LLC, the subsidiary guarantors party thereto and The Bank of New York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Mellon Trust Company, N.A., as trustee and collateral agent (incorporated by reference to Exhibit 4.9 to Form S-3 filed by Charter</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80" w:type="dxa"/>
            <w:vAlign w:val="bottom"/>
            <w:gridSpan w:val="2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Communications, Inc. on October 30, 2023 (File No. 333-275214-116)).</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Eighteenth Supplemental Indenture, dated as of December 4, 2020, among Charter Communications Operating, LLC, Charter</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8-K filed by Charter Communications, Inc. on December 4, 2020 (File No. 001-33664)).</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2.300% Senior Secured Notes due 2032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3.850% Senior Secured Notes due 2061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Nineteenth  Supplemental  Indenture,  dated  as  of  March  4,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8-K filed by Charter Communications, Inc. on March 4, 2021 (File No. 001-33664)).</w:t>
              </w:r>
            </w:hyperlink>
          </w:p>
        </w:tc>
        <w:tc>
          <w:tcPr>
            <w:tcW w:w="396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3.500% Senior Secured Notes due 2041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3.900% Senior Secured Notes due 2052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Sixth Supplemental Indenture, dated as of April 22, 2021,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80" w:type="dxa"/>
            <w:vAlign w:val="bottom"/>
            <w:gridSpan w:val="1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Charter Communications, Inc. on April 27, 2021 (File No. 001-33664)).</w:t>
              </w:r>
            </w:hyperlink>
          </w:p>
        </w:tc>
        <w:tc>
          <w:tcPr>
            <w:tcW w:w="500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10300" w:type="dxa"/>
            <w:vAlign w:val="bottom"/>
            <w:gridSpan w:val="2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4.500% Senior Notes due 2033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Communications, Inc. on April 27, 2021 (File No. 001-33664)).</w:t>
              </w:r>
            </w:hyperlink>
          </w:p>
        </w:tc>
        <w:tc>
          <w:tcPr>
            <w:tcW w:w="5360" w:type="dxa"/>
            <w:vAlign w:val="bottom"/>
            <w:tcBorders>
              <w:top w:val="single" w:sz="8" w:color="0000FF"/>
            </w:tcBorders>
            <w:gridSpan w:val="11"/>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10300" w:type="dxa"/>
            <w:vAlign w:val="bottom"/>
            <w:gridSpan w:val="29"/>
          </w:tcPr>
          <w:p>
            <w:pPr>
              <w:ind w:left="4240"/>
              <w:spacing w:after="0"/>
              <w:rPr>
                <w:sz w:val="20"/>
                <w:szCs w:val="20"/>
                <w:color w:val="auto"/>
              </w:rPr>
            </w:pPr>
            <w:r>
              <w:rPr>
                <w:rFonts w:ascii="Times New Roman" w:cs="Times New Roman" w:eastAsia="Times New Roman" w:hAnsi="Times New Roman"/>
                <w:sz w:val="18"/>
                <w:szCs w:val="18"/>
                <w:color w:val="auto"/>
              </w:rPr>
              <w:t>E-4</w:t>
            </w:r>
          </w:p>
        </w:tc>
      </w:tr>
      <w:tr>
        <w:trPr>
          <w:trHeight w:val="358"/>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4.61</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Twentieth Supplemental Indenture, dated as of June 2, 2021, among Charter Communications Operating, LLC, Charter Communications</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Trust Company, N.A., as trustee and collateral agent (incorporated by reference to Exhibit 4.6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00" w:type="dxa"/>
            <w:vAlign w:val="bottom"/>
            <w:gridSpan w:val="2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Charter Communications, Inc. on June 2, 2021,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4.62</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4.400% Senior Notes due 2061 (incorporated by reference to Exhibit 4.8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Communications, Inc. on June 2, 2021,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4.63</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Seventh Supplemental Indenture, dated as of August 16, 2021, among CCO Holdings, LLC, CCO Holdings Capital Corp. and The Bank</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21"/>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by Charter Communications, Inc. on August 18, 2021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4.64</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4.250% Senior Notes due 2034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Communications, Inc. on August 18, 2021 (File No. 001-33664)).</w:t>
              </w:r>
            </w:hyperlink>
          </w:p>
        </w:tc>
        <w:tc>
          <w:tcPr>
            <w:tcW w:w="5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4.65</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Twenty-First Supplemental Indenture, dated as of October 12, 2021, among Charter Communications Operating, LLC, Charter</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8-K filed by Charter Communications, Inc. on October 12, 2021 (File No. 001-33664)).</w:t>
              </w:r>
            </w:hyperlink>
          </w:p>
        </w:tc>
        <w:tc>
          <w:tcPr>
            <w:tcW w:w="3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4.66</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2.250% Senior Secured Notes due 2029 (incorporated by reference to Exhibit 4.3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4.67</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3.500% Senior Secured Notes due 2042 (incorporated by reference to Exhibit 4.4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4.68</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3.950% Senior Secured Notes due 2062 (incorporated by reference to Exhibit 4.5 to the Current Report on Form 8-K filed by</w:t>
              </w:r>
            </w:hyperlink>
          </w:p>
        </w:tc>
      </w:tr>
      <w:tr>
        <w:trPr>
          <w:trHeight w:val="155"/>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4.69</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Eighth Supplemental Indenture, dated as of January 19, 2022, among CCO Holdings, LLC, CCO Holdings Capital Corp. and The Bank</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6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by Charter Communications, Inc. on January 25, 2022 (File No. 001-33664)).</w:t>
              </w:r>
            </w:hyperlink>
          </w:p>
        </w:tc>
        <w:tc>
          <w:tcPr>
            <w:tcW w:w="464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4.70</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4.750% Senior Notes due 2032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Communications, Inc. on January 25, 2022 (File No. 001-33664)).</w:t>
              </w:r>
            </w:hyperlink>
          </w:p>
        </w:tc>
        <w:tc>
          <w:tcPr>
            <w:tcW w:w="51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4.71</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Twenty-Second Supplemental Indenture, dated as of March 15, 2022, among Charter Communications Operating, LLC, Charter</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25"/>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8-K filed by Charter Communications, Inc. on March 15, 2022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4.72</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4.400% Senior Notes due 2033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4.73</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5.250% Senior Notes due 2053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4.74</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5.500% Senior Notes due 2063 (incorporated by reference to Exhibit 4.5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4.75</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Ninth Supplemental Indenture, dated as of August 9, 2022, among CCO Holdings, LLC, CCO Holdings Capital Corp. and The Bank of</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80" w:type="dxa"/>
            <w:vAlign w:val="bottom"/>
            <w:tcBorders>
              <w:bottom w:val="single" w:sz="8" w:color="0000FF"/>
            </w:tcBorders>
            <w:gridSpan w:val="4"/>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3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Charter Communications, Inc. on August 15, 2022 (File No. 001-33664)).</w:t>
              </w:r>
            </w:hyperlink>
          </w:p>
        </w:tc>
        <w:tc>
          <w:tcPr>
            <w:tcW w:w="4880" w:type="dxa"/>
            <w:vAlign w:val="bottom"/>
            <w:gridSpan w:val="2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4.76</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6.375% Senior Notes due 2029 (incorporated by reference to Exhibit 4.3 to the Current Report on Form 8-K filed by Charter</w:t>
              </w:r>
            </w:hyperlink>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Communications, Inc. on August 15, 2022 (File No. 001-33664)).</w:t>
              </w:r>
            </w:hyperlink>
          </w:p>
        </w:tc>
        <w:tc>
          <w:tcPr>
            <w:tcW w:w="5200" w:type="dxa"/>
            <w:vAlign w:val="bottom"/>
            <w:tcBorders>
              <w:top w:val="single" w:sz="8" w:color="0000FF"/>
            </w:tcBorders>
            <w:gridSpan w:val="1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4.77</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Tenth Supplemental Indenture, dated as of February 13, 2023, among CCO Holdings, LLC, CCO Holdings Capital Corp. and The Bank</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by Charter Communications, Inc. on February 16, 2023 (File No. 001-33664)).</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6"/>
            <w:shd w:val="clear" w:color="auto" w:fill="0000FF"/>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4.78</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7.375% Senior Notes due 2031 (incorporated by reference to Exhibit 4.2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Communications, Inc. on February 16, 2023 (File No. 001-33664)).</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4.79</w:t>
            </w:r>
          </w:p>
        </w:tc>
        <w:tc>
          <w:tcPr>
            <w:tcW w:w="1026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Twenty-Third Supplemental Indenture, dated as of November 7, 2023, among Charter Communications Operating, LLC, Charter</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York Mellon Trust Company, N.A., as trustee and collateral agent (incorporated by reference to Exhibit 4.82 to the Annual Report on</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Form 10-K filed by Charter Communications, Inc. on February 2, 2024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4.80</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Twenty-Fourth Supplemental Indenture, dated as of November 10, 2023, among Charter Communications Operating, LLC, Charter</w:t>
              </w:r>
            </w:hyperlink>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19"/>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8-K filed by Charter Communications, Inc. on November 13, 2023 (File No. 001-33664)).</w:t>
              </w:r>
            </w:hyperlink>
          </w:p>
        </w:tc>
        <w:tc>
          <w:tcPr>
            <w:tcW w:w="31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4.81</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6.650% Senior Notes due 2034 (incorporated by reference to Exhibit 4.4 to the Current Report on Form 8-K filed by Charter</w:t>
              </w:r>
            </w:hyperlink>
          </w:p>
        </w:tc>
      </w:tr>
      <w:tr>
        <w:trPr>
          <w:trHeight w:val="156"/>
        </w:trPr>
        <w:tc>
          <w:tcPr>
            <w:tcW w:w="124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4.82</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Twenty-Fifth  Supplemental  Indenture,  dated  as  of  May  14,  2024,  among  Charter  Communications  Operating,  LLC,  Charter</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8-K filed by Charter Communications, Inc. on May 14, 2024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4.83</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6.100% Senior Notes due 2029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Communications, Inc. on May 14, 2024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4.84</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6.550% Senior Notes due 2034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Communications, Inc. on May 14, 2024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4.85</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Twenty-Sixth Supplemental Indenture, dated as of September 2, 2025, among Charter Communications Operating, LLC, Charter</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8-K filed by Charter Communications, Inc. on September 2, 2025 (File No. 001-33664)).</w:t>
              </w:r>
            </w:hyperlink>
          </w:p>
        </w:tc>
        <w:tc>
          <w:tcPr>
            <w:tcW w:w="3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4.86</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5.850% Senior Secured Notes due 2035 (incorporated by reference to Exhibit 4.3 to the Current Report on Form 8-K filed by</w:t>
              </w:r>
            </w:hyperlink>
          </w:p>
        </w:tc>
      </w:tr>
      <w:tr>
        <w:trPr>
          <w:trHeight w:val="156"/>
        </w:trPr>
        <w:tc>
          <w:tcPr>
            <w:tcW w:w="12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Charter Communications, Inc. on September 2, 2025 (File No. 001-33664)).</w:t>
              </w:r>
            </w:hyperlink>
          </w:p>
        </w:tc>
        <w:tc>
          <w:tcPr>
            <w:tcW w:w="444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4.87</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6.700% Senior Secured Notes due 2055 (incorporated by reference to Exhibit 4.4 to the Current Report on Form 8-K filed by</w:t>
              </w:r>
            </w:hyperlink>
          </w:p>
        </w:tc>
      </w:tr>
      <w:tr>
        <w:trPr>
          <w:trHeight w:val="156"/>
        </w:trPr>
        <w:tc>
          <w:tcPr>
            <w:tcW w:w="1240" w:type="dxa"/>
            <w:vAlign w:val="bottom"/>
          </w:tcPr>
          <w:p>
            <w:pPr>
              <w:spacing w:after="0"/>
              <w:rPr>
                <w:sz w:val="13"/>
                <w:szCs w:val="13"/>
                <w:color w:val="auto"/>
              </w:rPr>
            </w:pPr>
          </w:p>
        </w:tc>
        <w:tc>
          <w:tcPr>
            <w:tcW w:w="55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Charter Communications, Inc. on September 2, 2025 (File No. 001-33664)).</w:t>
              </w:r>
            </w:hyperlink>
          </w:p>
        </w:tc>
        <w:tc>
          <w:tcPr>
            <w:tcW w:w="444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4.88</w:t>
            </w: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Indenture, dated as of April 30, 1992 (the “TWCE Indenture”), as amended by the First Supplemental Indenture, dated as of June 30,</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1992, among Time Warner Entertainment Company, L.P. (“TWE”), Time Warner Companies, Inc. (“TWCI”), certain of TWCI’s</w:t>
            </w:r>
          </w:p>
        </w:tc>
      </w:tr>
      <w:tr>
        <w:trPr>
          <w:trHeight w:val="180"/>
        </w:trPr>
        <w:tc>
          <w:tcPr>
            <w:tcW w:w="1240" w:type="dxa"/>
            <w:vAlign w:val="bottom"/>
          </w:tcPr>
          <w:p>
            <w:pPr>
              <w:spacing w:after="0"/>
              <w:rPr>
                <w:sz w:val="15"/>
                <w:szCs w:val="15"/>
                <w:color w:val="auto"/>
              </w:rPr>
            </w:pP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Exhibits 10(g) and 10(h)</w:t>
            </w:r>
          </w:p>
        </w:tc>
      </w:tr>
      <w:tr>
        <w:trPr>
          <w:trHeight w:val="225"/>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to TWCI’s Current Report on Form 8-K dated June 26, 1992 and filed with the SEC on July 15, 1992 (File No. 1-8637)).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4.89</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Second Supplemental Indenture to the TWCE Indenture, dated as of December 9, 1992, among TWE, TWCI, certain of TWCI’s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4.2 to Amendment</w:t>
            </w:r>
          </w:p>
        </w:tc>
      </w:tr>
      <w:tr>
        <w:trPr>
          <w:trHeight w:val="180"/>
        </w:trPr>
        <w:tc>
          <w:tcPr>
            <w:tcW w:w="1240" w:type="dxa"/>
            <w:vAlign w:val="bottom"/>
          </w:tcPr>
          <w:p>
            <w:pPr>
              <w:spacing w:after="0"/>
              <w:rPr>
                <w:sz w:val="15"/>
                <w:szCs w:val="15"/>
                <w:color w:val="auto"/>
              </w:rPr>
            </w:pP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No. 1 to TWE’s Registration Statement on Form S-4 dated and filed with the SEC on October 25, 1993 (Registration No. 33-67688) (the</w:t>
            </w:r>
          </w:p>
        </w:tc>
      </w:tr>
      <w:tr>
        <w:trPr>
          <w:trHeight w:val="225"/>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“TWE October 25, 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4.90</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Third Supplemental Indenture to the TWCE Indenture, dated as of October 12, 1993, among TWE, TWCI, certain of TWCI’s subsidiaries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4.3 to the TWE October 25,</w:t>
            </w:r>
          </w:p>
        </w:tc>
      </w:tr>
      <w:tr>
        <w:trPr>
          <w:trHeight w:val="230"/>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4.91</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Fourth Supplemental Indenture to the TWCE Indenture, dated as of March 29, 1994, among TWE, TWCI, certain of TWCI’s subsidiaries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4.4 to TWE’s Annual Report</w:t>
            </w:r>
          </w:p>
        </w:tc>
      </w:tr>
      <w:tr>
        <w:trPr>
          <w:trHeight w:val="229"/>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1993 and filed with the SEC on March 30, 1994 (File No. 1-12878)).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4.92</w:t>
            </w:r>
          </w:p>
        </w:tc>
        <w:tc>
          <w:tcPr>
            <w:tcW w:w="10220" w:type="dxa"/>
            <w:vAlign w:val="bottom"/>
            <w:gridSpan w:val="23"/>
          </w:tcPr>
          <w:p>
            <w:pPr>
              <w:spacing w:after="0" w:line="181" w:lineRule="exact"/>
              <w:rPr>
                <w:sz w:val="20"/>
                <w:szCs w:val="20"/>
                <w:color w:val="auto"/>
              </w:rPr>
            </w:pPr>
            <w:r>
              <w:rPr>
                <w:rFonts w:ascii="Times New Roman" w:cs="Times New Roman" w:eastAsia="Times New Roman" w:hAnsi="Times New Roman"/>
                <w:sz w:val="18"/>
                <w:szCs w:val="18"/>
                <w:color w:val="auto"/>
              </w:rPr>
              <w:t>Fifth Supplemental Indenture to the TWCE Indenture, dated as of December 28, 1994, among TWE, TWCI, certain of TWCI’s</w:t>
            </w:r>
          </w:p>
        </w:tc>
      </w:tr>
      <w:tr>
        <w:trPr>
          <w:trHeight w:val="184"/>
        </w:trPr>
        <w:tc>
          <w:tcPr>
            <w:tcW w:w="1240" w:type="dxa"/>
            <w:vAlign w:val="bottom"/>
          </w:tcPr>
          <w:p>
            <w:pPr>
              <w:spacing w:after="0"/>
              <w:rPr>
                <w:sz w:val="16"/>
                <w:szCs w:val="16"/>
                <w:color w:val="auto"/>
              </w:rPr>
            </w:pPr>
          </w:p>
        </w:tc>
        <w:tc>
          <w:tcPr>
            <w:tcW w:w="1022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4.5 to TWE’s</w:t>
            </w:r>
          </w:p>
        </w:tc>
      </w:tr>
      <w:tr>
        <w:trPr>
          <w:trHeight w:val="230"/>
        </w:trPr>
        <w:tc>
          <w:tcPr>
            <w:tcW w:w="1240" w:type="dxa"/>
            <w:vAlign w:val="bottom"/>
          </w:tcPr>
          <w:p>
            <w:pPr>
              <w:spacing w:after="0"/>
              <w:rPr>
                <w:sz w:val="19"/>
                <w:szCs w:val="19"/>
                <w:color w:val="auto"/>
              </w:rPr>
            </w:pPr>
          </w:p>
        </w:tc>
        <w:tc>
          <w:tcPr>
            <w:tcW w:w="10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1994 and filed with the SEC on March 30, 1995 (File No. 1-12878)). (P)</w:t>
            </w:r>
          </w:p>
        </w:tc>
      </w:tr>
      <w:tr>
        <w:trPr>
          <w:trHeight w:val="194"/>
        </w:trPr>
        <w:tc>
          <w:tcPr>
            <w:tcW w:w="124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w w:val="95"/>
              </w:rPr>
              <w:t>4.93</w:t>
            </w:r>
          </w:p>
        </w:tc>
        <w:tc>
          <w:tcPr>
            <w:tcW w:w="10220" w:type="dxa"/>
            <w:vAlign w:val="bottom"/>
            <w:gridSpan w:val="23"/>
          </w:tcPr>
          <w:p>
            <w:pPr>
              <w:spacing w:after="0" w:line="19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Sixth Supplemental Indenture to the TWCE Indenture, dated as of September 29, 1997, among TWE, TWCI, certain of TWCI’s</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subsidiaries that are parties thereto and The Bank of New York, as Trustee (incorporated herein by reference to Exhibit 4.7 to Historic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TW Inc.’s (“Historic TW”) Annual Report on Form 10-K for the year ended December 31, 1997 and filed with the SEC on March 25,</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1998 (File No. 1-12259) (the “Time Warner 1997 Form 10-K”)).</w:t>
              </w:r>
            </w:hyperlink>
          </w:p>
        </w:tc>
        <w:tc>
          <w:tcPr>
            <w:tcW w:w="53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4.94</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Seventh Supplemental Indenture to the TWCE Indenture, dated as of December 29, 1997, among TWE, TWCI, certain of TWCI’s</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subsidiaries that are parties thereto and The Bank of New York, as Trustee (incorporated herein by reference to Exhibit 4.8 to the Time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9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Warner 1997 Form 10-K).</w:t>
              </w:r>
            </w:hyperlink>
          </w:p>
        </w:tc>
        <w:tc>
          <w:tcPr>
            <w:tcW w:w="818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4.95</w:t>
            </w:r>
          </w:p>
        </w:tc>
        <w:tc>
          <w:tcPr>
            <w:tcW w:w="10220" w:type="dxa"/>
            <w:vAlign w:val="bottom"/>
            <w:gridSpan w:val="2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Eighth Supplemental Indenture to the TWCE Indenture, dated as of December 9, 2003, among Historic TW, TWE, Warner</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Communications Inc. (“WCI”), American Television and Communications Corporation (“ATC”), TWC and The Bank of New York, as</w:t>
              </w:r>
            </w:hyperlink>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bl>
    <w:p>
      <w:pPr>
        <w:ind w:left="1240" w:right="2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Trustee (incorporated herein by reference to Exhibit 4.10 to Time Warner Inc.’s (“Time Warner”) Annual Report on Form 10-K for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year ended December 31, 2003 (File No. 1-15062)).</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4.96</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Ninth Supplemental Indenture to the TWCE Indenture, dated as of November 1, 2004, among Historic TW, TWE, Time Warner NY</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Cable Inc., WCI, ATC, TWC and The Bank of New York, as Trustee (incorporated herein by reference to Exhibit 4.1 to Time Warner’s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gridSpan w:val="42"/>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Quarterly Report on Form 10-Q for the quarter ended September 30, 2004 (File No. 1-15062)).</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4.97</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Tenth Supplemental Indenture to the TWCE Indenture, dated as of October 18, 2006, among Historic TW, TWE, TW NY Cable Holding</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 (“TW NY”), Time Warner NY Cable LLC (“TW NY Cable”), TWC, WCI, ATC and The Bank of New York, as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gridSpan w:val="39"/>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herein by reference to Exhibit 4.1 to Time Warner’s Current Report on Form 8-K dated and filed October 18, 2006 (File No.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1-15062)).</w:t>
              </w:r>
            </w:hyperlink>
          </w:p>
        </w:tc>
        <w:tc>
          <w:tcPr>
            <w:tcW w:w="16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4.98</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Eleventh Supplemental Indenture to the TWCE Indenture, dated as of November 2, 2006, among TWE, TW NY, TWC and The Bank of</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New York, as Trustee (incorporated herein by reference to Exhibit 99.1 to Time Warner’s Current Report on Form 8-K dated and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86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November 2, 2006 (File No. 1-15062)).</w:t>
              </w:r>
            </w:hyperlink>
          </w:p>
        </w:tc>
        <w:tc>
          <w:tcPr>
            <w:tcW w:w="7500" w:type="dxa"/>
            <w:vAlign w:val="bottom"/>
            <w:gridSpan w:val="3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4.99</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Twelfth Supplemental Indenture to the TWCE Indenture, dated as of September 30, 2012, among Time Warner Cable Enterprises LLC</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(“TWCE”), TWC, TW NY, Time Warner Cable Internet Holdings II LLC (“TWC Internet Holdings II”) and The Bank of New York</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Mellon, as trustee, supplementing the Indenture dated April 30, 1992, as amended (incorporated herein by reference to Exhibit 4.2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TWC’s Current Report on Form 8-K dated September 30, 2012 and filed with the SEC on October 1, 2012 (File No. 1-33335) (the “TWC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24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September 30, 2012 Form 8-K”)).</w:t>
              </w:r>
            </w:hyperlink>
          </w:p>
        </w:tc>
        <w:tc>
          <w:tcPr>
            <w:tcW w:w="7780" w:type="dxa"/>
            <w:vAlign w:val="bottom"/>
            <w:gridSpan w:val="3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4.100</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Thirteenth Supplemental Indenture, dated as of May 18, 2016, by and among Time Warner Cable Enterprises LLC, the guarantors party</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thereto and The Bank of New York Mellon (formerly known as The Bank of New York),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858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Current Report on Form 8-K filed by Charter Communications, Inc. on May 24, 2016 (File No. 001-33664)).</w:t>
              </w:r>
            </w:hyperlink>
          </w:p>
        </w:tc>
        <w:tc>
          <w:tcPr>
            <w:tcW w:w="146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4.101</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Indenture, dated as of April 9, 2007 (the “TWC Indenture”), among TWC, TW NY, TWE and The Bank of New York, as trustee</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herein by reference to Exhibit 4.1 to TWC’s Current Report on Form 8-K dated April 4, 2007 and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April 9, 2007 (File No. 1-33335) (the “TWC April 4, 2007 Form 8-K”)).</w:t>
              </w:r>
            </w:hyperlink>
          </w:p>
        </w:tc>
        <w:tc>
          <w:tcPr>
            <w:tcW w:w="4940" w:type="dxa"/>
            <w:vAlign w:val="bottom"/>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4.102</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Supplemental Indenture to the TWC Indenture, dated as of April 9, 2007, among TWC, TW NY, TWE and The Bank of New York,</w:t>
              </w:r>
            </w:hyperlink>
          </w:p>
        </w:tc>
      </w:tr>
      <w:tr>
        <w:trPr>
          <w:trHeight w:val="155"/>
        </w:trPr>
        <w:tc>
          <w:tcPr>
            <w:tcW w:w="1260" w:type="dxa"/>
            <w:vAlign w:val="bottom"/>
          </w:tcPr>
          <w:p>
            <w:pPr>
              <w:spacing w:after="0"/>
              <w:rPr>
                <w:sz w:val="13"/>
                <w:szCs w:val="13"/>
                <w:color w:val="auto"/>
              </w:rPr>
            </w:pPr>
          </w:p>
        </w:tc>
        <w:tc>
          <w:tcPr>
            <w:tcW w:w="101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as trustee (incorporated herein by reference to Exhibit 4.2 to the TWC April 4, 2007 Form 8-K).</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4.103</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Supplemental Indenture to the TWC Indenture, dated as of September 30, 2012, among TWC, TW NY, TWCE, TWC Internet</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Holdings II and The Bank of New York Mellon, as trustee, supplementing the Indenture dated April 9, 2007, as amended (incorporated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herein by reference to Exhibit 4.1 to the TWC September 30, 2012 Form 8-K).</w:t>
              </w:r>
            </w:hyperlink>
          </w:p>
        </w:tc>
        <w:tc>
          <w:tcPr>
            <w:tcW w:w="43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4.104</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Third Supplemental Indenture, dated as of May 18, 2016, by and among Time Warner Cable Inc., TWC NewCo LLC and The Bank of</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New York Mellon (formerly known as The Bank of New York), as trustee (incorporated by reference to Exhibit 4.5 to the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29"/>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on Form 8-K filed by Charter Communications, Inc. on May 24, 2016 (File No. 001-33664)).</w:t>
              </w:r>
            </w:hyperlink>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4.105</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Fourth Supplemental Indenture, dated as of May 18, 2016, by and among TWC NewCo LLC, the guarantors party thereto and The Bank</w:t>
              </w:r>
            </w:hyperlink>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of New York Mellon (formerly known as The Bank of New York), as trustee (incorporated by reference to Exhibit 4.6 to the Current</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100" w:type="dxa"/>
            <w:vAlign w:val="bottom"/>
            <w:gridSpan w:val="5"/>
          </w:tcPr>
          <w:p>
            <w:pPr>
              <w:spacing w:after="0"/>
              <w:rPr>
                <w:sz w:val="14"/>
                <w:szCs w:val="14"/>
                <w:color w:val="auto"/>
              </w:rPr>
            </w:pPr>
          </w:p>
        </w:tc>
        <w:tc>
          <w:tcPr>
            <w:tcW w:w="24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4.106</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TWC 6.55% Exchange Debentures due 2037 (included as Exhibit C to the First Supplemental Indenture incorporated herein by</w:t>
              </w:r>
            </w:hyperlink>
          </w:p>
        </w:tc>
      </w:tr>
      <w:tr>
        <w:trPr>
          <w:trHeight w:val="156"/>
        </w:trPr>
        <w:tc>
          <w:tcPr>
            <w:tcW w:w="126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reference to Exhibit 4.2 to the TWC April 4, 2007 Form 8-K).</w:t>
              </w:r>
            </w:hyperlink>
          </w:p>
        </w:tc>
        <w:tc>
          <w:tcPr>
            <w:tcW w:w="552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24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4.107</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TWC 7.30% Debentures due 2038 (incorporated herein by reference to Exhibit 4.3 to the TWC June 16, 2008 Form 8-K).</w:t>
              </w:r>
            </w:hyperlink>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4.108</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TWC 6.75% Debentures due 2039 (incorporated herein by reference to Exhibit 4.1 to TWC’s Current Report on Form 8-K dated</w:t>
              </w:r>
            </w:hyperlink>
          </w:p>
        </w:tc>
      </w:tr>
      <w:tr>
        <w:trPr>
          <w:trHeight w:val="155"/>
        </w:trPr>
        <w:tc>
          <w:tcPr>
            <w:tcW w:w="126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June 24, 2009 and filed with the SEC on June 29, 2009 (File No. 1-33335)).</w:t>
              </w:r>
            </w:hyperlink>
          </w:p>
        </w:tc>
        <w:tc>
          <w:tcPr>
            <w:tcW w:w="44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40" w:type="dxa"/>
            <w:vAlign w:val="bottom"/>
            <w:gridSpan w:val="1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4.109</w:t>
            </w:r>
          </w:p>
        </w:tc>
        <w:tc>
          <w:tcPr>
            <w:tcW w:w="98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Form of TWC 5.875% Debentures due 2040 (incorporated herein by reference to Exhibit 4.2 to the TWC November 9, 2010 Form 8-K).</w:t>
              </w:r>
            </w:hyperlink>
          </w:p>
        </w:tc>
        <w:tc>
          <w:tcPr>
            <w:tcW w:w="560" w:type="dxa"/>
            <w:vAlign w:val="bottom"/>
            <w:gridSpan w:val="25"/>
          </w:tcPr>
          <w:p>
            <w:pPr>
              <w:spacing w:after="0"/>
              <w:rPr>
                <w:sz w:val="19"/>
                <w:szCs w:val="19"/>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4.110</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TWC 5.75% Note due 2031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filed with the SEC on May 26, 2011 (File No. 1-33335)).</w:t>
              </w:r>
            </w:hyperlink>
          </w:p>
        </w:tc>
        <w:tc>
          <w:tcPr>
            <w:tcW w:w="6220" w:type="dxa"/>
            <w:vAlign w:val="bottom"/>
            <w:tcBorders>
              <w:top w:val="single" w:sz="8" w:color="0000FF"/>
            </w:tcBorders>
            <w:gridSpan w:val="3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4.111</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TWC 5.5% Debenture due 2041 (incorporated herein by reference to Exhibit 4.2 to the TWC Current Report on Form 8-K dated</w:t>
              </w:r>
            </w:hyperlink>
          </w:p>
        </w:tc>
      </w:tr>
      <w:tr>
        <w:trPr>
          <w:trHeight w:val="155"/>
        </w:trPr>
        <w:tc>
          <w:tcPr>
            <w:tcW w:w="12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September 7, 2011 and filed with the SEC on September 12, 2011 (File No. 1-33335)).</w:t>
              </w:r>
            </w:hyperlink>
          </w:p>
        </w:tc>
        <w:tc>
          <w:tcPr>
            <w:tcW w:w="3680" w:type="dxa"/>
            <w:vAlign w:val="bottom"/>
            <w:tcBorders>
              <w:top w:val="single" w:sz="8" w:color="0000FF"/>
            </w:tcBorders>
            <w:gridSpan w:val="9"/>
          </w:tcPr>
          <w:p>
            <w:pPr>
              <w:spacing w:after="0"/>
              <w:rPr>
                <w:sz w:val="13"/>
                <w:szCs w:val="13"/>
                <w:color w:val="auto"/>
              </w:rPr>
            </w:pPr>
          </w:p>
        </w:tc>
        <w:tc>
          <w:tcPr>
            <w:tcW w:w="160" w:type="dxa"/>
            <w:vAlign w:val="bottom"/>
            <w:gridSpan w:val="8"/>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4.112</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TWC 4.5% Debenture due 2042 (incorporated herein by reference to Exhibit 4.1 to TWC’s Current Report on Form 8-K dated</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August 7, 2012 and filed with the SEC on August 10, 2012 (File No. 1-33335)).</w:t>
              </w:r>
            </w:hyperlink>
          </w:p>
        </w:tc>
        <w:tc>
          <w:tcPr>
            <w:tcW w:w="300" w:type="dxa"/>
            <w:vAlign w:val="bottom"/>
            <w:gridSpan w:val="15"/>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640" w:type="dxa"/>
            <w:vAlign w:val="bottom"/>
            <w:gridSpan w:val="33"/>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4.113</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TWC 5.25% Note due 2042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103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filed with the SEC on June 27, 2012 (File No. 1-33335)).</w:t>
              </w:r>
            </w:hyperlink>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0" w:type="dxa"/>
            <w:vAlign w:val="bottom"/>
            <w:gridSpan w:val="37"/>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4.114</w:t>
            </w:r>
          </w:p>
        </w:tc>
        <w:tc>
          <w:tcPr>
            <w:tcW w:w="10400" w:type="dxa"/>
            <w:vAlign w:val="bottom"/>
            <w:gridSpan w:val="4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Description of Securities (incorporated herein by reference to Exhibit 4.104 to the Annual Report on Form 10-K filed by Charter</w:t>
              </w:r>
            </w:hyperlink>
          </w:p>
        </w:tc>
      </w:tr>
      <w:tr>
        <w:trPr>
          <w:trHeight w:val="155"/>
        </w:trPr>
        <w:tc>
          <w:tcPr>
            <w:tcW w:w="12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Communications, Inc. on January 27, 2023 (File No. 001-33664)).</w:t>
              </w:r>
            </w:hyperlink>
          </w:p>
        </w:tc>
        <w:tc>
          <w:tcPr>
            <w:tcW w:w="5500" w:type="dxa"/>
            <w:vAlign w:val="bottom"/>
            <w:tcBorders>
              <w:top w:val="single" w:sz="8" w:color="0000FF"/>
            </w:tcBorders>
            <w:gridSpan w:val="3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80" w:type="dxa"/>
            <w:vAlign w:val="bottom"/>
            <w:gridSpan w:val="39"/>
          </w:tcPr>
          <w:p>
            <w:pPr>
              <w:ind w:left="120"/>
              <w:spacing w:after="0"/>
              <w:rPr>
                <w:sz w:val="20"/>
                <w:szCs w:val="20"/>
                <w:color w:val="auto"/>
              </w:rPr>
            </w:pPr>
            <w:r>
              <w:rPr>
                <w:rFonts w:ascii="Times New Roman" w:cs="Times New Roman" w:eastAsia="Times New Roman" w:hAnsi="Times New Roman"/>
                <w:sz w:val="18"/>
                <w:szCs w:val="18"/>
                <w:color w:val="auto"/>
              </w:rPr>
              <w:t>E-7</w:t>
            </w:r>
          </w:p>
        </w:tc>
      </w:tr>
      <w:tr>
        <w:trPr>
          <w:trHeight w:val="358"/>
        </w:trPr>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Exchange and Registration Rights Agreement, dated July 23, 2015 relating to the 3.579% Senior Secured Notes due 2020, 4.464% Senior</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Secured Notes due 2022, 4.908% Senior Secured Notes due 2025, 6.384% Senior Secured Notes due 2035, 6.484% Senior Secured Notes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due 2045 and 6.834% Senior Secured Notes due 2055, between CCO Safari II, LLC and Goldman, Sachs &amp; Co., Credit Suisse Securities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60" w:type="dxa"/>
            <w:vAlign w:val="bottom"/>
            <w:tcBorders>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(USA) LLC, Merrill Lynch, Pierce, Fenner &amp; Smith Incorporated, Deutsche Bank Securities Inc. and UBS Securities LLC,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00" w:type="dxa"/>
            <w:vAlign w:val="bottom"/>
            <w:gridSpan w:val="33"/>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representatives of the several Purchasers (as defined therein) (incorporated by reference to Exhibit 10.1 to the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K filed by Charter Communications, Inc. on July 27,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Exchange and Registration Rights Agreement, dated April 21, 2016, relating to the 5.500% Senior Notes due 2026, among CCO</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Holdings, LLC, CCO Holdings Capital Corp., Charter Communications, Inc., as guarantor, and Merrill Lynch, Pierce, Fenner &amp; Smith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Citigroup Global Markets Inc., Credit Suisse Securities (USA) LLC, Deutsche Bank Securities Inc., Goldman, Sachs &amp; Co.,</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20" w:type="dxa"/>
            <w:vAlign w:val="bottom"/>
            <w:gridSpan w:val="34"/>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UBS Securities LLC and Wells Fargo Securities, LLC, as representatives of the several Purchasers (as defined therein) (incorporated by</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reference to Exhibit 10.1 to the Current Report on Form 8-K filed by Charter Communications, Inc. on April 27, 2016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4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Exchange and Registration Rights Agreement, dated February 6,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Holdings, LLC, CCO Holdings Capital Corp., and Merrill Lynch, Pierce, Fenner &amp; Smith Incorporated, Citigroup Global Markets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7"/>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Credit Suisse Securities (USA) LLC, Deutsche Bank Securities Inc., Goldman, Sachs &amp; Co., UBS Securities LLC, and Wells Fargo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Report on Form 8-K filed by Charter Communications, Inc. on February 6, 2017 (File No. 001-33664)).</w:t>
              </w:r>
            </w:hyperlink>
          </w:p>
        </w:tc>
        <w:tc>
          <w:tcPr>
            <w:tcW w:w="25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Exchange and Registration Rights Agreement, dated March 29,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Holdings, LLC, CCO Holdings Capital Corp., and Deutsche Bank Securities Inc.,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Citigroup Global Markets Inc., Credit Suisse Securities (USA) LLC, Goldman, Sachs &amp; Co., UBS Securities LLC, and Wells Fargo</w:t>
              </w:r>
            </w:hyperlink>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Report on Form 8-K filed by Charter Communications, Inc. on March 31, 2017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Exchange and Registration Rights Agreement, dated April 20,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Holdings, LLC, CCO Holdings Capital Corp. and Citigroup Global Markets Inc., as a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26,</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2017 (File No. 001-33664)).</w:t>
              </w:r>
            </w:hyperlink>
          </w:p>
        </w:tc>
        <w:tc>
          <w:tcPr>
            <w:tcW w:w="830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Exchange and Registration Rights Agreement, dated April 20,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Communications Operating, LLC, Charter Communications Operating Capital Corp., the guarantors party thereto and Citigroup Global</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Markets Inc., as representative of the several Purchasers (as defined therein) (incorporated by reference to Exhibit 10.2 to the Current</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73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Report on Form 8-K filed by Charter Communications, Inc. on April 26, 2017 (File No. 001-33664)).</w:t>
              </w:r>
            </w:hyperlink>
          </w:p>
        </w:tc>
        <w:tc>
          <w:tcPr>
            <w:tcW w:w="3060" w:type="dxa"/>
            <w:vAlign w:val="bottom"/>
            <w:gridSpan w:val="2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Exchange and Registration Rights Agreement, dated July 6, 2017, relating to the 3.750% Senior Notes due 2028, among Charter</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Current Report 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Exchange and Registration Rights Agreement, dated July 6, 2017, relating to the 5.375% Senior Notes due 2047, among Charter</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Exchange and Registration Rights Agreement, dated August 8, 2017, relating to the 5.000% Senior Notes due 2028, among CCO</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Communications, Inc. on August 14, 2017 (File No. 001-33664)).</w:t>
              </w:r>
            </w:hyperlink>
          </w:p>
        </w:tc>
        <w:tc>
          <w:tcPr>
            <w:tcW w:w="54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Exchange and Registration Rights Agreement, dated September 18, 2017, relating to the 4.200% Senior Secured Notes due 2028, among</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60" w:type="dxa"/>
            <w:vAlign w:val="bottom"/>
            <w:gridSpan w:val="8"/>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40" w:type="dxa"/>
            <w:vAlign w:val="bottom"/>
            <w:tcBorders>
              <w:bottom w:val="single" w:sz="8" w:color="0000FF"/>
            </w:tcBorders>
            <w:gridSpan w:val="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00" w:type="dxa"/>
            <w:vAlign w:val="bottom"/>
            <w:gridSpan w:val="23"/>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40" w:type="dxa"/>
            <w:vAlign w:val="bottom"/>
            <w:gridSpan w:val="1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September 21, 2017 (File No. 001-33664)).</w:t>
              </w:r>
            </w:hyperlink>
          </w:p>
        </w:tc>
        <w:tc>
          <w:tcPr>
            <w:tcW w:w="6940" w:type="dxa"/>
            <w:vAlign w:val="bottom"/>
            <w:tcBorders>
              <w:top w:val="single" w:sz="8" w:color="0000FF"/>
            </w:tcBorders>
            <w:gridSpan w:val="14"/>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Exchange and Registration Rights Agreement, dated September 18, 2017, relating to the 5.375% Senior Secured Notes due 2047, among</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20" w:type="dxa"/>
            <w:vAlign w:val="bottom"/>
            <w:tcBorders>
              <w:bottom w:val="single" w:sz="8" w:color="0000FF"/>
            </w:tcBorders>
            <w:gridSpan w:val="6"/>
          </w:tcPr>
          <w:p>
            <w:pPr>
              <w:spacing w:after="0"/>
              <w:rPr>
                <w:sz w:val="13"/>
                <w:szCs w:val="13"/>
                <w:color w:val="auto"/>
              </w:rPr>
            </w:pPr>
          </w:p>
        </w:tc>
        <w:tc>
          <w:tcPr>
            <w:tcW w:w="280" w:type="dxa"/>
            <w:vAlign w:val="bottom"/>
            <w:gridSpan w:val="14"/>
          </w:tcPr>
          <w:p>
            <w:pPr>
              <w:spacing w:after="0"/>
              <w:rPr>
                <w:sz w:val="13"/>
                <w:szCs w:val="13"/>
                <w:color w:val="auto"/>
              </w:rPr>
            </w:pPr>
          </w:p>
        </w:tc>
      </w:tr>
    </w:tbl>
    <w:p>
      <w:pPr>
        <w:jc w:val="both"/>
        <w:ind w:left="1240"/>
        <w:spacing w:after="0" w:line="219"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Lynch, Pierce, Fenner &amp; Smith Incorporated and Citigroup Global Markets Inc., as representatives of the several Purchasers (as defined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therein) (incorporated by reference to Exhibit 10.2 to the Current Report on Form 8-K filed by Charter Communications, Inc. on</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September 21, 2017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10.12</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Exchange and Registration Rights Agreement, dated October 17, 2017, relating to the 5.000% Senior Notes due 2028,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gridSpan w:val="28"/>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Communications, Inc. on October 20, 2017 (File No. 001-33664)).</w:t>
              </w:r>
            </w:hyperlink>
          </w:p>
        </w:tc>
        <w:tc>
          <w:tcPr>
            <w:tcW w:w="53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10.13</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Exchange and Registration Rights Agreement, dated May 23,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1"/>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10.1 to the Current Report on Form 8-K filed by Charter Communications, Inc. on May 30,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10.14</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Exchange and Registration Rights Agreement, dated July 10, 2019, relating to the 5.375% Senior Notes due 2029, among CCO Holdings,</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1"/>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(incorporated by reference to Exhibit 10.1 to the Current Report on Form 8-K filed by Charter Communications, Inc. on July 10,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10.15</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Exchange and Registration Rights Agreement, dated October 1,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3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(incorporated by reference to Exhibit 10.1 to the Current Report on Form 8-K filed by Charter Communications, Inc. on October 7, 2019</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10.16</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Exchange and Registration Rights Agreement, dated October 24,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to Exhibit 10.1 to the Current Report on Form 8-K filed by Charter Communications, Inc. on October 30, 2019</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60" w:type="dxa"/>
            <w:vAlign w:val="bottom"/>
            <w:gridSpan w:val="26"/>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10.17</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Exchange and Registration Rights Agreement, dated December 16,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Holdings, LLC, CCO Holdings Capital Corp. and Citigroup Global Markets,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December 16, 2019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10.18</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Exchange and Registration Rights Agreement, dated February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21, 2020 (File No. 001-33664)).</w:t>
              </w:r>
            </w:hyperlink>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10.19</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2030 Exchange and Registration Rights Agreement, dated March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therein) (incorporated by reference to Exhibit 10.1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10.20</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2032 Exchange and Registration Rights Agreement, dated March 18,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therein) (incorporated by reference to Exhibit 10.2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10.21</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Exchange and Registration Rights Agreement, dated July 9,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gridSpan w:val="24"/>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10.1 to the Current Report on Form 8-K filed by Charter Communications, Inc. on July 13, 2020</w:t>
              </w:r>
            </w:hyperlink>
          </w:p>
        </w:tc>
        <w:tc>
          <w:tcPr>
            <w:tcW w:w="100" w:type="dxa"/>
            <w:vAlign w:val="bottom"/>
            <w:gridSpan w:val="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(File No. 001-33664)).</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10.22</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Exchange and Registration Rights Agreement, dated July 24,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10.1 to the Current Report on Form 8-K filed by Charter Communications, Inc. on July 28, 2020)</w:t>
              </w:r>
            </w:hyperlink>
          </w:p>
        </w:tc>
        <w:tc>
          <w:tcPr>
            <w:tcW w:w="100" w:type="dxa"/>
            <w:vAlign w:val="bottom"/>
            <w:gridSpan w:val="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Exchange and Registration Rights Agreement, dated October 12,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therein) (incorporated by reference to Exhibit 10.1 to the Current Report on Form 8-K filed by Charter Communications, Inc. on October</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gridSpan w:val="19"/>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16, 2020 (File No. 001-33664)).</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940" w:type="dxa"/>
            <w:vAlign w:val="bottom"/>
            <w:gridSpan w:val="1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10.24</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Exchange and Registration Rights Agreement, dated April 22, 2021, relating to the 4.500% Senior Notes due 2033, among CCO</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27,</w:t>
              </w:r>
            </w:hyperlink>
          </w:p>
        </w:tc>
        <w:tc>
          <w:tcPr>
            <w:tcW w:w="140" w:type="dxa"/>
            <w:vAlign w:val="bottom"/>
            <w:gridSpan w:val="7"/>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2021 (File No. 001-33664)).</w:t>
              </w:r>
            </w:hyperlink>
          </w:p>
        </w:tc>
        <w:tc>
          <w:tcPr>
            <w:tcW w:w="830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10.25</w:t>
            </w:r>
          </w:p>
        </w:tc>
        <w:tc>
          <w:tcPr>
            <w:tcW w:w="10420" w:type="dxa"/>
            <w:vAlign w:val="bottom"/>
            <w:gridSpan w:val="2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Exchange and Registration Rights Agreement, dated June 2, 2021, relating to the 4.500% Senior Notes due 2033, among CCO Holdings,</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1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bl>
    <w:p>
      <w:pPr>
        <w:ind w:left="1240" w:right="20"/>
        <w:spacing w:after="0" w:line="226"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(incorporated by reference to Exhibit 10.1 to the Current Report on Form 8-K filed by Charter Communications, Inc. on June 2, 2021,</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2021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Exchange and Registration Rights Agreement, dated August 16, 2021, relating to the 4.250% Senior Notes due 2034, among CCO</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4"/>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18,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Exchange and Registration Rights Agreement, dated January 19, 2022, relating to the 4.750% Senior Notes due 2032, among CCO</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gridSpan w:val="21"/>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therein). (incorporated by reference to Exhibit 10.1 to the Current Report on Form 8-K filed by Charter Communications, Inc. on January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25, 2022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Exchange and Registration Rights Agreement, dated August 9, 2022, relating to the 6.375% Senior Notes due 2029, among CCO</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15, 2022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Exchange and Registration Rights Agreement, dated February 13, 2023, relating to the 7.375% Senior Notes due 2031, among CCO</w:t>
              </w:r>
            </w:hyperlink>
          </w:p>
        </w:tc>
      </w:tr>
      <w:tr>
        <w:trPr>
          <w:trHeight w:val="155"/>
        </w:trPr>
        <w:tc>
          <w:tcPr>
            <w:tcW w:w="1240" w:type="dxa"/>
            <w:vAlign w:val="bottom"/>
          </w:tcPr>
          <w:p>
            <w:pPr>
              <w:spacing w:after="0"/>
              <w:rPr>
                <w:sz w:val="13"/>
                <w:szCs w:val="13"/>
                <w:color w:val="auto"/>
              </w:rPr>
            </w:pPr>
          </w:p>
        </w:tc>
        <w:tc>
          <w:tcPr>
            <w:tcW w:w="104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40" w:type="dxa"/>
            <w:vAlign w:val="bottom"/>
            <w:gridSpan w:val="33"/>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16, 2023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Restatement Agreement dated as of May 18, 2016, by and among Charter Communications Operating, LLC, CCO Holdings, LLC, the</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gridSpan w:val="19"/>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reference to Exhibit 10.5 to the Current Report on Form 8-K of Charter Communications, Inc. filed on May 24, 2016 (File No. 001-</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No. 1 dated as of December 23, 2016,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on May 18, 2016, by and among Chart Communications Operating, LLC, CCO Holdings, LLC, the Lenders Party</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thereto and Bank of America, N.A., as Administrative Agent (incorporated by reference to Exhibit 10.1 to the Current Report on Form 8-</w:t>
              </w:r>
            </w:hyperlink>
          </w:p>
        </w:tc>
        <w:tc>
          <w:tcPr>
            <w:tcW w:w="40" w:type="dxa"/>
            <w:vAlign w:val="bottom"/>
            <w:tcBorders>
              <w:bottom w:val="single" w:sz="8" w:color="0000FF"/>
            </w:tcBorders>
            <w:gridSpan w:val="2"/>
          </w:tcPr>
          <w:p>
            <w:pPr>
              <w:spacing w:after="0"/>
              <w:rPr>
                <w:sz w:val="14"/>
                <w:szCs w:val="14"/>
                <w:color w:val="auto"/>
              </w:rPr>
            </w:pPr>
          </w:p>
        </w:tc>
        <w:tc>
          <w:tcPr>
            <w:tcW w:w="160" w:type="dxa"/>
            <w:vAlign w:val="bottom"/>
            <w:tcBorders>
              <w:bottom w:val="single" w:sz="8" w:color="0000FF"/>
            </w:tcBorders>
            <w:gridSpan w:val="8"/>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30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K of Charter Communications, Inc. filed on December 30, 2016 (File No. 001-33664)).</w:t>
              </w:r>
            </w:hyperlink>
          </w:p>
        </w:tc>
        <w:tc>
          <w:tcPr>
            <w:tcW w:w="408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Restatement Agreement dated as of December 21, 2017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on May 18, 2016, as amended by Amendment No. 1, dated as of December 23, 2016 and as further amended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gridSpan w:val="29"/>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that certain Incremental Activation Notice No. 1, dated as of January 19, 2017, by and among Charter Communications Operating, LLC,</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CCO Holdings, LLC, the Lenders Party thereto and Bank of America, N.A., as Administrative Agent (incorporated by reference to</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Exhibit 10.1 to the Current Report on Form 8-K of Charter Communications, Inc. filed on December 28, 2017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10.30(d)</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1, dated as of January 24, 2019, to (i)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 and restated on December 21, 2017, by and among Charter Communications Operating, LLC, CCO Holdings, LLC, certain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40" w:type="dxa"/>
            <w:vAlign w:val="bottom"/>
            <w:tcBorders>
              <w:bottom w:val="single" w:sz="8" w:color="0000FF"/>
            </w:tcBorders>
            <w:gridSpan w:val="2"/>
          </w:tcPr>
          <w:p>
            <w:pPr>
              <w:spacing w:after="0"/>
              <w:rPr>
                <w:sz w:val="14"/>
                <w:szCs w:val="14"/>
                <w:color w:val="auto"/>
              </w:rPr>
            </w:pPr>
          </w:p>
        </w:tc>
        <w:tc>
          <w:tcPr>
            <w:tcW w:w="2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8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and (ii) the Guarantee and Collateral Agreement, dated as of March 18, 1999, as amended and restated as of March 31, 2010, as further</w:t>
              </w:r>
            </w:hyperlink>
          </w:p>
        </w:tc>
        <w:tc>
          <w:tcPr>
            <w:tcW w:w="240" w:type="dxa"/>
            <w:vAlign w:val="bottom"/>
            <w:tcBorders>
              <w:bottom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20" w:type="dxa"/>
            <w:vAlign w:val="bottom"/>
            <w:tcBorders>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 and restated on May 18, 2016, by and among Charter Communications Operating, LLC, CCO Holdings, LLC, certain</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80" w:type="dxa"/>
            <w:vAlign w:val="bottom"/>
            <w:gridSpan w:val="35"/>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subsidiaries of Charter Communications Operating, LLC and Bank of America, N.A., as Administrative Agent (incorporated by reference</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to Exhibit 10.1 to the Current Report on Form 8-K filed by Charter Communications, Inc. on January 30, 2019 (File No. 001-33664)).</w:t>
              </w:r>
            </w:hyperlink>
          </w:p>
        </w:tc>
        <w:tc>
          <w:tcPr>
            <w:tcW w:w="28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10.30(e)</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Restatement Agreement, dated as of April 26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amended and restated on December 21, 2017 and as amended by Amendment No. 1 as of January 24, 2019, by and among Charter</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340" w:type="dxa"/>
            <w:vAlign w:val="bottom"/>
            <w:tcBorders>
              <w:bottom w:val="single" w:sz="8" w:color="0000FF"/>
            </w:tcBorders>
            <w:gridSpan w:val="17"/>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4"/>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party thereto and Bank of America, N.A., as Administrative Agent (incorporated by reference to Exhibit 10.4 to the Quarterly Report on</w:t>
              </w:r>
            </w:hyperlink>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10-Q of Charter Communications, Inc. filed April 30, 2019 (File No. 001-33664)).</w:t>
              </w:r>
            </w:hyperlink>
          </w:p>
        </w:tc>
        <w:tc>
          <w:tcPr>
            <w:tcW w:w="20" w:type="dxa"/>
            <w:vAlign w:val="bottom"/>
          </w:tcPr>
          <w:p>
            <w:pPr>
              <w:spacing w:after="0"/>
              <w:rPr>
                <w:sz w:val="13"/>
                <w:szCs w:val="13"/>
                <w:color w:val="auto"/>
              </w:rPr>
            </w:pPr>
          </w:p>
        </w:tc>
        <w:tc>
          <w:tcPr>
            <w:tcW w:w="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10.30(f)</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No. 1, dated as of October 24,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on April 26, 2019, by and among Charter Communications Operating, LLC, CCO Holdings, LLC, certain</w:t>
              </w:r>
            </w:hyperlink>
          </w:p>
        </w:tc>
        <w:tc>
          <w:tcPr>
            <w:tcW w:w="4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140" w:type="dxa"/>
            <w:vAlign w:val="bottom"/>
            <w:tcBorders>
              <w:bottom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2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10.2 to the Current Report on Form 8-K filed by Charter Communications, Inc. on October 30, 2019</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4"/>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820" w:type="dxa"/>
            <w:vAlign w:val="bottom"/>
            <w:gridSpan w:val="3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10.30(g)</w:t>
            </w:r>
          </w:p>
        </w:tc>
        <w:tc>
          <w:tcPr>
            <w:tcW w:w="10500" w:type="dxa"/>
            <w:vAlign w:val="bottom"/>
            <w:gridSpan w:val="3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jc w:val="both"/>
        <w:ind w:left="1240"/>
        <w:spacing w:after="0" w:line="209"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Communications Operating, LLC, CCO Holdings, LLC, certain subsidiaries of Charter Communications Operating, LLC, the lenders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party thereto and Bank of America, N.A., as administrative agent and (ii) the Amended and Restated Guarantee and Collateral</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Agreement, dated as of March 18, 1999, as amended and restated as of March 6, 2007, as amended and restated as of March 31, 2010, as</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240"/>
        <w:spacing w:after="0" w:line="208"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amended and restated as of May 18, 2016 and as further amended as of January 24, 2019, by Charter Communications Operating, LLC,</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CCO Holdings, LLC, certain subsidiaries of Charter Communications Operating, LLC and the Bank of America, N.A., as administrative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agent (incorporated by reference to Exhibit 10.1 to the Current Report on Form 8-K filed by Charter Communications, Inc. on June 2,</w:t>
        </w:r>
      </w:hyperlink>
    </w:p>
    <w:p>
      <w:pPr>
        <w:spacing w:after="0" w:line="2" w:lineRule="exact"/>
        <w:rPr>
          <w:rFonts w:ascii="Times New Roman" w:cs="Times New Roman" w:eastAsia="Times New Roman" w:hAnsi="Times New Roman"/>
          <w:sz w:val="18"/>
          <w:szCs w:val="18"/>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2022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10.30(h)</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3, dated as of February 10, 2023,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No. 2 on May 26, 2022, by and among Charter Communications Operating, LLC, CCO Holdings, LLC, certain of Charter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00" w:type="dxa"/>
            <w:vAlign w:val="bottom"/>
            <w:tcBorders>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Communications Operating, LLC’s subsidiaries, the lenders party thereto and Bank of America, N.A., as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520" w:type="dxa"/>
            <w:vAlign w:val="bottom"/>
            <w:gridSpan w:val="40"/>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10.2 to the Current Report on Form 8-K filed by Charter Communications, Inc. on February 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2023 (File No. 001-33664)).</w:t>
              </w:r>
            </w:hyperlink>
          </w:p>
        </w:tc>
        <w:tc>
          <w:tcPr>
            <w:tcW w:w="79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10.30(i)</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No. 4, dated as of March 23, 2023, to the Amended and Restated Credit Agreement, dated as of March 18, 1999, as amended</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and restated on April 26, 2019, as amended by Amendment No. 1 on October 24, 2019 and as further amended by Amendment No. 2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May 26, 2022 and as further amended by Amendment No. 3 on February 10, 2023, by and among Charter Communications Operating,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40" w:type="dxa"/>
            <w:vAlign w:val="bottom"/>
            <w:tcBorders>
              <w:bottom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60" w:type="dxa"/>
            <w:vAlign w:val="bottom"/>
            <w:gridSpan w:val="37"/>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Communications, Inc. on March 29, 2023 (File No. 001-33664)).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10.30(j)</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No. 5, dated as of December 7,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No. 2 on May 26, 2022 and as further amended by Amendment No. 3 on February 10, 2023 and as further amended by Amendment No. 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tcBorders>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on March 23, 2023, by and among Charter Communications Operating, LLC, CCO Holdings, LLC, certain of Charter Communications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Operating, LLC’s subsidiaries, the lenders party thereto and Bank of America, N.A.,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Exhibit 10.1 to the Current Report on Form 8-K filed by Charter Communications, Inc. on December 13, 2023 (File No. 001-33664)).</w:t>
              </w:r>
            </w:hyperlink>
          </w:p>
        </w:tc>
        <w:tc>
          <w:tcPr>
            <w:tcW w:w="840" w:type="dxa"/>
            <w:vAlign w:val="bottom"/>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10.30(k)</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No. 6, dated as of December 3, 2024,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No. 2 on May 26, 2022 and as further amended by Amendment No. 3 on February 10, 2023, as further amended by Amendment No. 4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80" w:type="dxa"/>
            <w:vAlign w:val="bottom"/>
            <w:gridSpan w:val="38"/>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March 23, 2023, and as further amended by Amendment No. 5 on December 7, 2023, by and among Charter Communications Operating,</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Communications, Inc. on December 9, 2024 (File No. 001-33664)).</w:t>
              </w:r>
            </w:hyperlink>
          </w:p>
        </w:tc>
        <w:tc>
          <w:tcPr>
            <w:tcW w:w="5540" w:type="dxa"/>
            <w:vAlign w:val="bottom"/>
            <w:tcBorders>
              <w:top w:val="single" w:sz="8" w:color="0000FF"/>
            </w:tcBorders>
            <w:gridSpan w:val="27"/>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Joinder Agreement to Registration Rights Agreement, dated as of May 18, 2016, by and among CCO Safari II, LLC, CCH II, LLC,</w:t>
              </w:r>
            </w:hyperlink>
          </w:p>
        </w:tc>
      </w:tr>
      <w:tr>
        <w:trPr>
          <w:trHeight w:val="156"/>
        </w:trPr>
        <w:tc>
          <w:tcPr>
            <w:tcW w:w="1240" w:type="dxa"/>
            <w:vAlign w:val="bottom"/>
          </w:tcPr>
          <w:p>
            <w:pPr>
              <w:spacing w:after="0"/>
              <w:rPr>
                <w:sz w:val="13"/>
                <w:szCs w:val="13"/>
                <w:color w:val="auto"/>
              </w:rPr>
            </w:pPr>
          </w:p>
        </w:tc>
        <w:tc>
          <w:tcPr>
            <w:tcW w:w="105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Charter Communications Operating, LLC, Charter Communications Operating Capital Corp., CCO Holdings, LLC and the other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guarantors party thereto (incorporated herein by reference to Exhibit 10.1 to the Current Report on Form 8-K of Charter Communications,</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82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Inc. filed May 24, 2016).</w:t>
              </w:r>
            </w:hyperlink>
          </w:p>
        </w:tc>
        <w:tc>
          <w:tcPr>
            <w:tcW w:w="8460" w:type="dxa"/>
            <w:vAlign w:val="bottom"/>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Joinder Agreement to Registration Rights Agreement, dated as of May 18, 2016, by CCO Holdings, LLC and CCO Holdings Capital</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Corp (incorporated herein by reference to Exhibit 10.2 to the Current Report on Form 8-K of Charter Communications, Inc. filed May 24,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2016).</w:t>
              </w:r>
            </w:hyperlink>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Escrow Assumption Agreement, dated as of May 18, 2016, by and among CCO Safari III, LLC, Charter Communications Operating,</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LLC, Bank of America, N.A., as escrow administrative agent and Bank of America,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3"/>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reference to Exhibit 10.3 to the Current Report on Form 8-K of Charter Communications, Inc. filed May 24, 2016).</w:t>
              </w:r>
            </w:hyperlink>
          </w:p>
        </w:tc>
        <w:tc>
          <w:tcPr>
            <w:tcW w:w="180" w:type="dxa"/>
            <w:vAlign w:val="bottom"/>
            <w:gridSpan w:val="9"/>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98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Incremental Activation Notice, dated as of May 18, 2016, by and among Charter Communications Operating, LLC, CCO Holdings, LLC,</w:t>
              </w:r>
            </w:hyperlink>
          </w:p>
        </w:tc>
      </w:tr>
      <w:tr>
        <w:trPr>
          <w:trHeight w:val="156"/>
        </w:trPr>
        <w:tc>
          <w:tcPr>
            <w:tcW w:w="1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the subsidiary guarantors party thereto, Bank of America, N.A., as administrative agent and the lenders party thereto (incorporated by</w:t>
              </w:r>
            </w:hyperlink>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reference to Exhibit 10.4 to the Current Report on Form 8-K of Charter Communications, Inc. filed on May 24, 2016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4">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Collateral Agreement, dated as of May 18, 2016, by Charter Communications Operating, LLC, Charter Communications Operating</w:t>
              </w:r>
            </w:hyperlink>
          </w:p>
        </w:tc>
      </w:tr>
      <w:tr>
        <w:trPr>
          <w:trHeight w:val="155"/>
        </w:trPr>
        <w:tc>
          <w:tcPr>
            <w:tcW w:w="1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Capital Corp. and the other grantors party thereto in favor of The Bank of New York Mellon Trust Company, N.A., as collateral agent</w:t>
              </w:r>
            </w:hyperlink>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by reference to Exhibit 10.6 to the Current Report on Form 8-K of Charter Communications, Inc. filed on May 24, 2016</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First Lien Intercreditor Agreement, dated as of May 18, 2016, by and among Charter Communications Operating, LLC, the other grantors</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party thereto, Bank of America, N.A., as credit agreement collateral agent for the credit agreement secured parties, The Bank of New</w:t>
              </w:r>
            </w:hyperlink>
          </w:p>
        </w:tc>
        <w:tc>
          <w:tcPr>
            <w:tcW w:w="12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York Mellon Trust Company, N.A., as notes collateral agent for the indenture secured parties, and each additional agent from time to time</w:t>
              </w:r>
            </w:hyperlink>
          </w:p>
        </w:tc>
        <w:tc>
          <w:tcPr>
            <w:tcW w:w="160" w:type="dxa"/>
            <w:vAlign w:val="bottom"/>
            <w:gridSpan w:val="8"/>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party thereto (incorporated by reference to Exhibit 10.7 to the Current Report on Form 8-K of Charter Communications, Inc. filed on May</w:t>
              </w:r>
            </w:hyperlink>
          </w:p>
        </w:tc>
        <w:tc>
          <w:tcPr>
            <w:tcW w:w="240" w:type="dxa"/>
            <w:vAlign w:val="bottom"/>
            <w:gridSpan w:val="1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24, 2016 (File No. 001-33664)).</w:t>
              </w:r>
            </w:hyperlink>
          </w:p>
        </w:tc>
        <w:tc>
          <w:tcPr>
            <w:tcW w:w="280" w:type="dxa"/>
            <w:vAlign w:val="bottom"/>
            <w:gridSpan w:val="1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76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Limited Liability Company Agreement of Charter Communications Holdings, LLC, dated as of May 18, 2016, by</w:t>
              </w:r>
            </w:hyperlink>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and among Charter Holdings, Charter, CCH II, LLC, Advance/Newhouse Partnership and the other party or parties thereto (incorporated</w:t>
              </w:r>
            </w:hyperlink>
          </w:p>
        </w:tc>
        <w:tc>
          <w:tcPr>
            <w:tcW w:w="100" w:type="dxa"/>
            <w:vAlign w:val="bottom"/>
            <w:tcBorders>
              <w:bottom w:val="single" w:sz="8" w:color="0000FF"/>
            </w:tcBorders>
            <w:gridSpan w:val="5"/>
          </w:tcPr>
          <w:p>
            <w:pPr>
              <w:spacing w:after="0"/>
              <w:rPr>
                <w:sz w:val="13"/>
                <w:szCs w:val="13"/>
                <w:color w:val="auto"/>
              </w:rPr>
            </w:pPr>
          </w:p>
        </w:tc>
        <w:tc>
          <w:tcPr>
            <w:tcW w:w="280" w:type="dxa"/>
            <w:vAlign w:val="bottom"/>
            <w:tcBorders>
              <w:bottom w:val="single" w:sz="8" w:color="0000FF"/>
            </w:tcBorders>
            <w:gridSpan w:val="1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gridSpan w:val="30"/>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by reference to Exhibit 10.1 to the Current Report on Form 8-K of Charter Communications, Inc. filed on May 19, 2016 (File No. 001-</w:t>
              </w:r>
            </w:hyperlink>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7">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60" w:type="dxa"/>
            <w:vAlign w:val="bottom"/>
            <w:gridSpan w:val="42"/>
          </w:tcPr>
          <w:p>
            <w:pPr>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Exchange Agreement, dated as of May 18, 2016, by and among Charter Holdings, Charter, Advance/Newhouse Partnership and the other</w:t>
              </w:r>
            </w:hyperlink>
          </w:p>
        </w:tc>
      </w:tr>
    </w:tbl>
    <w:p>
      <w:pPr>
        <w:ind w:left="1240"/>
        <w:spacing w:after="0" w:line="219"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party or parties thereto (incorporated by reference to Exhibit 10.2 to the Current Report on Form 8-K of Charter Communications, Inc.</w:t>
        </w:r>
      </w:hyperlink>
    </w:p>
    <w:p>
      <w:pPr>
        <w:ind w:left="124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filed on May 19, 2016 (File No. 001-33664)).</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Registration Rights Agreement, dated as of May 18, 2016, by and among Charter, Advance/Newhouse Partnership and Liberty</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Broadband (incorporated by reference to Exhibit 10.3 to the Current Report on Form 8-K of Charter Communications, Inc. filed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gridSpan w:val="33"/>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19,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Tax Receivables Agreement, dated as of May 18, 2016, by and among Charter, Advance/Newhouse Partnership and the other party or</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parties thereto (incorporated by reference to Exhibit 10.4 to the Current Report on Form 8-K of Charter Communications, Inc.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May 19, 2016 (File No. 001-33664)).</w:t>
              </w:r>
            </w:hyperlink>
          </w:p>
        </w:tc>
        <w:tc>
          <w:tcPr>
            <w:tcW w:w="73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Wireless Operational Cooperation Agreement dated as of May 5, 2017 between Charter Communications, Inc. and Comcast Corporation</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by reference to Exhibit 10.1 to the Current Report on Form 8-K filed by Charter Communications, Inc. on May 8,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28"/>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Charter Communications, Inc. Executive Bonus Plan (incorporated by reference to Exhibit 10.1 to the Quarterly Report on Form 10-Q of</w:t>
              </w:r>
            </w:hyperlink>
          </w:p>
        </w:tc>
      </w:tr>
      <w:tr>
        <w:trPr>
          <w:trHeight w:val="156"/>
        </w:trPr>
        <w:tc>
          <w:tcPr>
            <w:tcW w:w="124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Charter Communications, Inc. filed on May 8, 2012 (File No. 001-33664)).</w:t>
              </w:r>
            </w:hyperlink>
          </w:p>
        </w:tc>
        <w:tc>
          <w:tcPr>
            <w:tcW w:w="4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First Amended and Restated Indemnification Agreement (incorporated by reference to Exhibit 10.3 to the Quarterly Report on</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10-Q of Charter Communications, Inc. filed on August 6, 2013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Charter Communications, Inc. 2016 Executive Incentive Performance Plan (incorporated by reference to Appendix A to the Proxy</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Statement for the Charter Communications, Inc. 2016 Annual Meeting of Stockholders filed March 17, 2016 (File No. 001-33664)).</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Charter Communications, Inc. Amended and Restated 2009 Stock Incentive Plan (incorporated by reference to Exhibit 10.6 to the Current</w:t>
              </w:r>
            </w:hyperlink>
          </w:p>
        </w:tc>
      </w:tr>
      <w:tr>
        <w:trPr>
          <w:trHeight w:val="156"/>
        </w:trPr>
        <w:tc>
          <w:tcPr>
            <w:tcW w:w="124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Report on Form 8-K of Charter Communications, Inc. filed on May 19, 2016 (File No. 001-33664)).</w:t>
              </w:r>
            </w:hyperlink>
          </w:p>
        </w:tc>
        <w:tc>
          <w:tcPr>
            <w:tcW w:w="28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Amendment to the Charter Communications, Inc. Amended and Restated 2009 Stock Incentive Plan, dated as of October 25, 2016</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(incorporated by reference to Exhibit 10.1 to the Current Report on Form 8-K of Charter Communications, Inc. filed on October 28, 2016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(File No. 001-33664)).</w:t>
              </w:r>
            </w:hyperlink>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Charter Communications, Inc.’s Amended and Restated Supplemental Deferred Compensation Plan, dated as of September 1, 2011</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by reference to Exhibit 10.1 to the Current Report on Form 8-K filed by Charter Communications, Inc. on September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2011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Non-Qualified Time Vesting Stock Option Agreement dated April 26, 2011 (incorporated by reference to Exhibit 10.3 to the</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of Non-Qualified Price Vesting Stock Option Agreement dated April 26, 2011 (incorporated by reference to Exhibit 10.2 to the</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Notice of LTIP Award Agreement Changes (RSU Awards) (incorporated by reference to Exhibit 10.3 to the Current Report on</w:t>
              </w:r>
            </w:hyperlink>
          </w:p>
        </w:tc>
      </w:tr>
      <w:tr>
        <w:trPr>
          <w:trHeight w:val="155"/>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2980" w:type="dxa"/>
            <w:vAlign w:val="bottom"/>
            <w:tcBorders>
              <w:top w:val="single" w:sz="8" w:color="0000FF"/>
            </w:tcBorders>
            <w:gridSpan w:val="8"/>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Notice of LTIP Award Agreement Changes (Time-Vesting Option Awards) (incorporated by reference to Exhibit 10.4 to the</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Current Report on Form 8-K filed by Charter Communications, Inc. on January 22, 2014 (File No. 001-33664)).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Notice of LTIP Award Agreement Changes (Restricted Stock Awards) (incorporated by reference to Exhibit 10.5 to the Current</w:t>
              </w:r>
            </w:hyperlink>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Report on Form 8-K filed by Charter Communications, Inc. on January 22, 2014 (File No. 001-33664)).</w:t>
              </w:r>
            </w:hyperlink>
          </w:p>
        </w:tc>
        <w:tc>
          <w:tcPr>
            <w:tcW w:w="24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Notice of LTIP Award Agreement Changes (Performance-Vesting Option Awards) (incorporated by reference to Exhibit 10.6 to</w:t>
              </w:r>
            </w:hyperlink>
          </w:p>
        </w:tc>
      </w:tr>
      <w:tr>
        <w:trPr>
          <w:trHeight w:val="155"/>
        </w:trPr>
        <w:tc>
          <w:tcPr>
            <w:tcW w:w="1240" w:type="dxa"/>
            <w:vAlign w:val="bottom"/>
          </w:tcPr>
          <w:p>
            <w:pPr>
              <w:spacing w:after="0"/>
              <w:rPr>
                <w:sz w:val="13"/>
                <w:szCs w:val="13"/>
                <w:color w:val="auto"/>
              </w:rPr>
            </w:pPr>
          </w:p>
        </w:tc>
        <w:tc>
          <w:tcPr>
            <w:tcW w:w="83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the Current Report on Form 8-K filed by Charter Communications, Inc. on January 22, 2014 (File No. 001-33664)).</w:t>
              </w:r>
            </w:hyperlink>
          </w:p>
        </w:tc>
        <w:tc>
          <w:tcPr>
            <w:tcW w:w="1720" w:type="dxa"/>
            <w:vAlign w:val="bottom"/>
            <w:tcBorders>
              <w:top w:val="single" w:sz="8" w:color="0000FF"/>
            </w:tcBorders>
            <w:gridSpan w:val="11"/>
          </w:tcPr>
          <w:p>
            <w:pPr>
              <w:spacing w:after="0"/>
              <w:rPr>
                <w:sz w:val="13"/>
                <w:szCs w:val="13"/>
                <w:color w:val="auto"/>
              </w:rPr>
            </w:pP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Stock Option Agreement dated January 15, 2014 (incorporated by reference to Exhibit 10.1 to the Current Report on Form 8-K</w:t>
              </w:r>
            </w:hyperlink>
          </w:p>
        </w:tc>
      </w:tr>
      <w:tr>
        <w:trPr>
          <w:trHeight w:val="155"/>
        </w:trPr>
        <w:tc>
          <w:tcPr>
            <w:tcW w:w="12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filed by Charter Communications, Inc. on January 22, 2014 (File No. 001-33664)).</w:t>
              </w:r>
            </w:hyperlink>
          </w:p>
        </w:tc>
        <w:tc>
          <w:tcPr>
            <w:tcW w:w="43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Restricted Stock Unit Agreement dated January 15, 2014 (incorporated by reference to Exhibit 10.2 to the Current Report on</w:t>
              </w:r>
            </w:hyperlink>
          </w:p>
        </w:tc>
      </w:tr>
      <w:tr>
        <w:trPr>
          <w:trHeight w:val="155"/>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2880" w:type="dxa"/>
            <w:vAlign w:val="bottom"/>
            <w:tcBorders>
              <w:top w:val="single" w:sz="8" w:color="0000FF"/>
            </w:tcBorders>
            <w:gridSpan w:val="7"/>
          </w:tcPr>
          <w:p>
            <w:pPr>
              <w:spacing w:after="0"/>
              <w:rPr>
                <w:sz w:val="13"/>
                <w:szCs w:val="13"/>
                <w:color w:val="auto"/>
              </w:rPr>
            </w:pPr>
          </w:p>
        </w:tc>
        <w:tc>
          <w:tcPr>
            <w:tcW w:w="4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300" w:type="dxa"/>
            <w:vAlign w:val="bottom"/>
            <w:gridSpan w:val="36"/>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Amendment to Nonqualified Stock Option Agreements Granted Under the Charter Communications, Inc. Amended and Restated</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2009 Stock Incentive Plan, dated as of October 25, 2016 (incorporated by reference to Exhibit 10.2 to the Current Report on Form 8-K of</w:t>
              </w:r>
            </w:hyperlink>
          </w:p>
        </w:tc>
        <w:tc>
          <w:tcPr>
            <w:tcW w:w="20" w:type="dxa"/>
            <w:vAlign w:val="bottom"/>
            <w:tcBorders>
              <w:bottom w:val="single" w:sz="8" w:color="0000FF"/>
            </w:tcBorders>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gridSpan w:val="23"/>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Charter Communications, Inc. filed on October 28, 2016 (File No. 001-33664)).</w:t>
              </w:r>
            </w:hyperlink>
          </w:p>
        </w:tc>
        <w:tc>
          <w:tcPr>
            <w:tcW w:w="260" w:type="dxa"/>
            <w:vAlign w:val="bottom"/>
            <w:gridSpan w:val="1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4540" w:type="dxa"/>
            <w:vAlign w:val="bottom"/>
            <w:gridSpan w:val="30"/>
          </w:tcPr>
          <w:p>
            <w:pPr>
              <w:spacing w:after="0" w:line="20" w:lineRule="exact"/>
              <w:rPr>
                <w:sz w:val="1"/>
                <w:szCs w:val="1"/>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300" w:type="dxa"/>
            <w:vAlign w:val="bottom"/>
            <w:gridSpan w:val="36"/>
          </w:tcPr>
          <w:p>
            <w:pPr>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Form of Performance-Vesting Stock Option Agreement granted to certain executive officers in 2016 under the Charter Communications,</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Inc. Amended and Restated 2009 Stock Incentive Plan (incorporated by reference to Exhibit 10.102 to the Annual Report on Form 10-K</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of Charter Communications, Inc. filed on February 16,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Performance-Vesting Restricted Stock Unit Agreement granted to certain executive officers in 2016 under the Charter</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Communications, Inc. Amended and Restated 2009 Stock Incentive Plan (incorporated by reference to Exhibit 10.103 to the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Report on Form 10-K of Charter Communications, Inc. filed on February 16, 2017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Charter Communications, Inc. 2019 Stock Incentive Plan (incorporated by reference to Annex A to the Proxy Statement for the Charter</w:t>
              </w:r>
            </w:hyperlink>
          </w:p>
        </w:tc>
      </w:tr>
      <w:tr>
        <w:trPr>
          <w:trHeight w:val="156"/>
        </w:trPr>
        <w:tc>
          <w:tcPr>
            <w:tcW w:w="12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Communications, Inc. 2019 Annual Meeting of Stockholders filed March 14, 2019 (File No. 001-33664)).</w:t>
              </w:r>
            </w:hyperlink>
          </w:p>
        </w:tc>
        <w:tc>
          <w:tcPr>
            <w:tcW w:w="25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55"/>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Exhibit 10.152 to the Annual Report on Form 10-K of Charter Communications, Inc. filed on January 31, 2020 (File No. 001-33664)).</w:t>
              </w:r>
            </w:hyperlink>
          </w:p>
        </w:tc>
        <w:tc>
          <w:tcPr>
            <w:tcW w:w="5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Second Amendment to the Charter Communications, Inc. 2019 Stock Incentive Plan (incorporated by reference to Appendix B to the</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Definitive Proxy Statement for the Charter Communications, Inc. 2024 Annual Meeting of Stockholders filed on March 14, 2024 (File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Form of Nonqualified Stock Option Agreement under the Charter Communications, Inc. 2019 Stock Incentive Plan (incorporated by</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reference to Exhibit 10.2 to the Quarterly Report on Form 10-Q of Charter Communications, Inc. filed July 26, 2019 (File No. 001-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44">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Restricted Stock Unit Agreement under the Charter Communications, Inc. 2019 Stock Incentive Plan (incorporated by reference</w:t>
              </w:r>
            </w:hyperlink>
          </w:p>
        </w:tc>
      </w:tr>
      <w:tr>
        <w:trPr>
          <w:trHeight w:val="156"/>
        </w:trPr>
        <w:tc>
          <w:tcPr>
            <w:tcW w:w="12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to Exhibit 10.3 to the Quarterly Report on Form 10-Q of Charter Communications, Inc. filed July 26, 2019 (File No. 001-33664)).</w:t>
              </w:r>
            </w:hyperlink>
          </w:p>
        </w:tc>
        <w:tc>
          <w:tcPr>
            <w:tcW w:w="9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Restricted Stock Agreement under the Charter Communications, Inc. 2019 Stock Incentive Plan (incorporated by reference to</w:t>
              </w:r>
            </w:hyperlink>
          </w:p>
        </w:tc>
      </w:tr>
      <w:tr>
        <w:trPr>
          <w:trHeight w:val="155"/>
        </w:trPr>
        <w:tc>
          <w:tcPr>
            <w:tcW w:w="124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Exhibit 10.4 to the Quarterly Report on Form 10-Q of Charter Communications, Inc. filed July 26, 2019 (File No. 001-33664)).</w:t>
              </w:r>
            </w:hyperlink>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Performance-Vesting Stock Option Agreement (incorporated by reference to Exhibit 10.1 to the Current Report on Form 8-K</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filed by Charter Communications, Inc. on February 24, 2023 (File No. 001-33664)).</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Performance-Vesting Restricted Stock Unit Agreement (incorporated by reference to Exhibit 10.2 to the Current Report on Form</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8-K filed by Charter Communications, Inc. on February 24, 2023(File No. 001-33664)).</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Charter Communications, Inc. 2025 Employee Stock Purchase Plan (incorporated by reference to Exhibit 10.1 to the Current Report on</w:t>
              </w:r>
            </w:hyperlink>
          </w:p>
        </w:tc>
      </w:tr>
      <w:tr>
        <w:trPr>
          <w:trHeight w:val="156"/>
        </w:trPr>
        <w:tc>
          <w:tcPr>
            <w:tcW w:w="124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Form 8-K filed by Charter Communications, Inc. on April 25, 2025 (File No. 001-33664)).</w:t>
              </w:r>
            </w:hyperlink>
          </w:p>
        </w:tc>
        <w:tc>
          <w:tcPr>
            <w:tcW w:w="36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Time Warner Cable Inc. 2006 Stock Incentive Plan (incorporated herein by reference to Exhibit 10.45 to TWC’s Current Report on Form</w:t>
              </w:r>
            </w:hyperlink>
          </w:p>
        </w:tc>
      </w:tr>
      <w:tr>
        <w:trPr>
          <w:trHeight w:val="156"/>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8-K dated February 13, 2007 and filed with the SEC on February 13, 2007).</w:t>
              </w:r>
            </w:hyperlink>
          </w:p>
        </w:tc>
        <w:tc>
          <w:tcPr>
            <w:tcW w:w="45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Time Warner Cable Inc. 2006 Stock Incentive Plan, as amended, effective March 12, 2009 (incorporated herein by reference to Exhibit</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TWC’s Quarterly Report on Form 10-Q for the quarter ended March 31, 2009).</w:t>
              </w:r>
            </w:hyperlink>
          </w:p>
        </w:tc>
        <w:tc>
          <w:tcPr>
            <w:tcW w:w="37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Time Warner Cable Inc. 2011 Stock Incentive Plan (incorporated herein by reference to Annex A to TWC’s Definitive Proxy Statement</w:t>
              </w:r>
            </w:hyperlink>
          </w:p>
        </w:tc>
      </w:tr>
      <w:tr>
        <w:trPr>
          <w:trHeight w:val="155"/>
        </w:trPr>
        <w:tc>
          <w:tcPr>
            <w:tcW w:w="1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dated April 6, 2011 and filed with the SEC on April 6, 2011).</w:t>
              </w:r>
            </w:hyperlink>
          </w:p>
        </w:tc>
        <w:tc>
          <w:tcPr>
            <w:tcW w:w="56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Amended and Restated Employment Agreement, dated as of December 3, 2025, by and between Charter Communications, Inc. and</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Christopher L. Winfrey (incorporated by reference to Exhibit 10.1 to the Current Report on Form 8-K filed by Charter Communications,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28"/>
          </w:tcPr>
          <w:p>
            <w:pPr>
              <w:spacing w:after="0" w:line="169"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 on December 5, 2025 (File No. 001-33664)).</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38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Employment Agreement between Charter Communications, Inc. and Richard DiGeronimo, dated August 1, 2025 (incorporated by</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reference to Exhibit 10.1 to the Current Report on Form 8-K filed by Charter Communications, Inc. on August 5, 2025 (File No. 001-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54">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Employment Agreement, dated as of January 29, 2025, by and between Charter Communications, Inc. and Jessica Fischer (incorporated</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by reference to Exhibit 10.72(b) to the Annual Report on Form 10-K of Charter Communications, Inc. filed on January 31, 2025 (File No.</w:t>
              </w:r>
            </w:hyperlink>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Employment Agreement, dated as of October 6, 2023, by and between Charter Communications, Inc. and Jamal Haughton (incorporated</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by reference to Exhibit 10.73 to the Annual Report on Form 10-K of Charter Communications, Inc. filed on January 31, 2025 (File No.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Employment Agreement, dated as of January 16, 2026, by and between Charter Communications, Inc. and Adam Ray (incorporated by</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reference to Exhibit 10.1 to the Current Report on Form 8-K of Charter Communications, Inc. filed on January 22, 2026 (File No. 001-</w:t>
              </w:r>
            </w:hyperlink>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57">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Employment Agreement, dated as of July 23, 2024, by and between Charter Communications, Inc. and Kevin D. Howard (incorporated</w:t>
              </w:r>
            </w:hyperlink>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by reference to Exhibit 10.4 to the Quarterly Report on Form 10-Q filed by Charter Communications, Inc. on July 26, 2024 (File No. 001-</w:t>
              </w:r>
            </w:hyperlink>
          </w:p>
        </w:tc>
        <w:tc>
          <w:tcPr>
            <w:tcW w:w="40" w:type="dxa"/>
            <w:vAlign w:val="bottom"/>
            <w:gridSpan w:val="2"/>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58">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0320" w:type="dxa"/>
            <w:vAlign w:val="bottom"/>
            <w:gridSpan w:val="3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Letter Agreement, dated as of December 23, 2016, between Charter Communications, Inc. and Advance/Newhouse Partnership</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(incorporated by reference to Exhibit 99.1 to the Current Report on Form 8-K of Charter Communications, Inc. filed on December 28,</w:t>
              </w:r>
            </w:hyperlink>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2016 (File No. 001-33664)).</w:t>
              </w:r>
            </w:hyperlink>
          </w:p>
        </w:tc>
        <w:tc>
          <w:tcPr>
            <w:tcW w:w="8060" w:type="dxa"/>
            <w:vAlign w:val="bottom"/>
            <w:tcBorders>
              <w:top w:val="single" w:sz="8" w:color="0000FF"/>
            </w:tcBorders>
            <w:gridSpan w:val="23"/>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10320" w:type="dxa"/>
            <w:vAlign w:val="bottom"/>
            <w:gridSpan w:val="37"/>
          </w:tcPr>
          <w:p>
            <w:pPr>
              <w:spacing w:after="0"/>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Amendment to Letter Agreement, dated as of December 21, 2017, between Charter Communications, Inc. and Advance/Newhouse</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Partnership (incorporated by reference to Exhibit 99.1 to the Current Report on Form 8-K of Charter Communications, Inc. filed on</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December 22,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10.79</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Amendment to Letter Agreement, dated as of May 16, 2025, by and between Charter Communications, Inc. and Advance/Newhouse</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Partnership (incorporated by reference to Exhibit 99.1 to the Current Report on Form 8-K filed by Charter Communications, Inc.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3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19, 2025 (File No. 001-33664)).</w:t>
              </w:r>
            </w:hyperlink>
          </w:p>
        </w:tc>
        <w:tc>
          <w:tcPr>
            <w:tcW w:w="78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10.80(a)</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Letter Agreement, dated as of February 23, 2021, between Charter Communications, Inc. and Liberty Broadband Corporation</w:t>
              </w:r>
            </w:hyperlink>
          </w:p>
        </w:tc>
      </w:tr>
      <w:tr>
        <w:trPr>
          <w:trHeight w:val="155"/>
        </w:trPr>
        <w:tc>
          <w:tcPr>
            <w:tcW w:w="126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by reference to Exhibit 99.1 to the Current Report on Form 8-K of Charter Communications, Inc. filed on February 24,</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2021 (File No. 001-33664)).</w:t>
              </w:r>
            </w:hyperlink>
          </w:p>
        </w:tc>
        <w:tc>
          <w:tcPr>
            <w:tcW w:w="8320" w:type="dxa"/>
            <w:vAlign w:val="bottom"/>
            <w:gridSpan w:val="3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10.80(b)</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001-33664)).</w:t>
              </w:r>
            </w:hyperlink>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Voting Agreement, dated as of November 12, 2024, by and among Charter Communications, Inc., Liberty Broadband Corporation, The</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John C. Malone 1995 Revocable Trust, The Leslie A. Malone 1995 Revocable Trust, The Malone Family Land Preservation Foundation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and the John C. Malone June 2003 Charitable Unitrust (incorporated by reference to Exhibit 10.1 to the Current Report on Form 8-K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80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by Charter Communications, Inc. on November 13, 2024 (File No. 001-33664)).</w:t>
              </w:r>
            </w:hyperlink>
          </w:p>
        </w:tc>
        <w:tc>
          <w:tcPr>
            <w:tcW w:w="440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10.82</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Voting Agreement, dated as of November 12, 2024, by and among Charter Communications, Inc., Liberty Broadband Corporation,</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Gregory B. Maffei, Maven GRAT 1, LLC, Maven 2017-1 GRAT, LLC and the Maffei Foundation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1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by Charter Communications, Inc. on November 13, 2024 (File No. 001-33664)).</w:t>
              </w:r>
            </w:hyperlink>
          </w:p>
        </w:tc>
        <w:tc>
          <w:tcPr>
            <w:tcW w:w="134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10.83</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Assumption and Joinder Agreement to Tax Sharing Agreement, made and entered into as of November 12, 2024, by and among Charter</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Communications, Inc., Liberty Broadband Corporation, Grizzly Merger Sub 1, LLC and Qurate Retail, Inc. (incorporated by reference to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6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Exhibit 10.4 to the Current Report on Form 8-K filed by Charter Communications, Inc. on November 13, 2024 (File No. 001-33664)).</w:t>
              </w:r>
            </w:hyperlink>
          </w:p>
        </w:tc>
        <w:tc>
          <w:tcPr>
            <w:tcW w:w="66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10.84</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Tax Sharing Agreement, dated as of March 9, 2018, by and between GCI Liberty, Inc. and Liberty Interactive Corporation (incorporated</w:t>
              </w:r>
            </w:hyperlink>
          </w:p>
        </w:tc>
      </w:tr>
      <w:tr>
        <w:trPr>
          <w:trHeight w:val="156"/>
        </w:trPr>
        <w:tc>
          <w:tcPr>
            <w:tcW w:w="126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by reference to Exhibit 10.1 to GCI Liberty, Inc.’s Current Report on Form 8-K filed on March 14, 2018 (File No. 001-38385)).</w:t>
              </w:r>
            </w:hyperlink>
          </w:p>
        </w:tc>
        <w:tc>
          <w:tcPr>
            <w:tcW w:w="8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10.85</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Assumption and Joinder Agreement to Indemnification Agreement, made and entered into as of November 12, 2024, by and among</w:t>
              </w:r>
            </w:hyperlink>
          </w:p>
        </w:tc>
      </w:tr>
      <w:tr>
        <w:trPr>
          <w:trHeight w:val="155"/>
        </w:trPr>
        <w:tc>
          <w:tcPr>
            <w:tcW w:w="1260" w:type="dxa"/>
            <w:vAlign w:val="bottom"/>
          </w:tcPr>
          <w:p>
            <w:pPr>
              <w:spacing w:after="0"/>
              <w:rPr>
                <w:sz w:val="13"/>
                <w:szCs w:val="13"/>
                <w:color w:val="auto"/>
              </w:rPr>
            </w:pPr>
          </w:p>
        </w:tc>
        <w:tc>
          <w:tcPr>
            <w:tcW w:w="103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Charter Communications, Inc., Liberty Broadband Corporation, Grizzly Merger Sub 1, LLC, Qurate Retail, Inc., Liberty Interactive LLC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and LV Bridge, LLC (incorporated by reference to Exhibit 10.6 to the Current Report on Form 8-K filed by Charter Communications, Inc.</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336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on November 13, 2024 (File No. 001-33664)).</w:t>
              </w:r>
            </w:hyperlink>
          </w:p>
        </w:tc>
        <w:tc>
          <w:tcPr>
            <w:tcW w:w="7040" w:type="dxa"/>
            <w:vAlign w:val="bottom"/>
            <w:gridSpan w:val="3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10.86</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Indemnification Agreement, dated as of March 9, 2018, by and among GCI Liberty, Inc., Liberty Interactive Corporation, Liberty</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Interactive LLC and LV Bridge, LLC (incorporated by reference to Exhibit 10.2 to GCI Liberty, Inc.’s Current Report on Form 8-K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gridSpan w:val="33"/>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on March 14, 2018 (File No. 001-38385)).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10.87</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Voting Agreement, dated as of May 16, 2025, by and among Charter Communications, Inc., Cox Enterprises, Inc. and Liberty Broadband</w:t>
              </w:r>
            </w:hyperlink>
          </w:p>
        </w:tc>
      </w:tr>
      <w:tr>
        <w:trPr>
          <w:trHeight w:val="155"/>
        </w:trPr>
        <w:tc>
          <w:tcPr>
            <w:tcW w:w="1260" w:type="dxa"/>
            <w:vAlign w:val="bottom"/>
          </w:tcPr>
          <w:p>
            <w:pPr>
              <w:spacing w:after="0"/>
              <w:rPr>
                <w:sz w:val="13"/>
                <w:szCs w:val="13"/>
                <w:color w:val="auto"/>
              </w:rPr>
            </w:pPr>
          </w:p>
        </w:tc>
        <w:tc>
          <w:tcPr>
            <w:tcW w:w="103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Corporation (incorporated by reference to Exhibit 10.1 to the Current Report on Form 8-K filed by Charter Communications, Inc. on May</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19, 2025 (File No. 001-33664)).</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10.88</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Voting  Agreement,  dated  as  of  May  16,  2025,  by  and  among  Charter  Communications,  Inc.,  Cox  Enterprises,  Inc.  and</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Advance/Newhouse Partnership (incorporated by reference to Exhibit 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filed by Charter</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Communications, Inc. on May 19, 2025 (File No. 001-33664)).</w:t>
              </w:r>
            </w:hyperlink>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10.89</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Side Letter, dated as of May 16, 2025, by and among Charter Communications, Inc., Fusion Merger Sub 1, LLC, Fusion Merger Sub 2,</w:t>
              </w:r>
            </w:hyperlink>
          </w:p>
        </w:tc>
      </w:tr>
      <w:tr>
        <w:trPr>
          <w:trHeight w:val="155"/>
        </w:trPr>
        <w:tc>
          <w:tcPr>
            <w:tcW w:w="1260" w:type="dxa"/>
            <w:vAlign w:val="bottom"/>
          </w:tcPr>
          <w:p>
            <w:pPr>
              <w:spacing w:after="0"/>
              <w:rPr>
                <w:sz w:val="13"/>
                <w:szCs w:val="13"/>
                <w:color w:val="auto"/>
              </w:rPr>
            </w:pPr>
          </w:p>
        </w:tc>
        <w:tc>
          <w:tcPr>
            <w:tcW w:w="10420" w:type="dxa"/>
            <w:vAlign w:val="bottom"/>
            <w:tcBorders>
              <w:top w:val="single" w:sz="8" w:color="0000FF"/>
              <w:bottom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Inc. and Liberty Broadband Corporation (incorporated by reference to Exhibit 10.3 to the Current Report on Form 8-K filed by Charter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60" w:type="dxa"/>
            <w:vAlign w:val="bottom"/>
            <w:gridSpan w:val="44"/>
          </w:tcPr>
          <w:p>
            <w:pPr>
              <w:spacing w:after="0" w:line="16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Communications, Inc. on May 19, 2025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20" w:type="dxa"/>
            <w:vAlign w:val="bottom"/>
            <w:gridSpan w:val="6"/>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480" w:type="dxa"/>
            <w:vAlign w:val="bottom"/>
            <w:gridSpan w:val="45"/>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Charter Communications, Inc. Securities Trading Policy, effective as of October 2024 (incorporated by reference to Exhibit 19.1 to the</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Annual Report on Form 10-K of Charter Communications, Inc. filed on January 31, 2025 (File No. 001-33664)).</w:t>
              </w:r>
            </w:hyperlink>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81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Issuers and Guarantors of Guaranteed Securities and Affiliate Securities Pledged as Collateral.</w:t>
            </w:r>
          </w:p>
        </w:tc>
        <w:tc>
          <w:tcPr>
            <w:tcW w:w="2360" w:type="dxa"/>
            <w:vAlign w:val="bottom"/>
            <w:gridSpan w:val="33"/>
          </w:tcPr>
          <w:p>
            <w:pPr>
              <w:spacing w:after="0"/>
              <w:rPr>
                <w:sz w:val="19"/>
                <w:szCs w:val="19"/>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3680" w:type="dxa"/>
            <w:vAlign w:val="bottom"/>
            <w:gridSpan w:val="34"/>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18"/>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Securities Exchange Act of 1934.</w:t>
            </w:r>
          </w:p>
        </w:tc>
        <w:tc>
          <w:tcPr>
            <w:tcW w:w="1440" w:type="dxa"/>
            <w:vAlign w:val="bottom"/>
            <w:gridSpan w:val="31"/>
          </w:tcPr>
          <w:p>
            <w:pPr>
              <w:spacing w:after="0"/>
              <w:rPr>
                <w:sz w:val="18"/>
                <w:szCs w:val="18"/>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13a-14(a)/Rule 15d-14(a) under the Securities Exchange Act of 1934.</w:t>
            </w: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360" w:type="dxa"/>
            <w:vAlign w:val="bottom"/>
            <w:gridSpan w:val="12"/>
            <w:shd w:val="clear" w:color="auto" w:fill="0000FF"/>
          </w:tcPr>
          <w:p>
            <w:pPr>
              <w:spacing w:after="0" w:line="20" w:lineRule="exact"/>
              <w:rPr>
                <w:sz w:val="1"/>
                <w:szCs w:val="1"/>
                <w:color w:val="auto"/>
              </w:rPr>
            </w:pPr>
          </w:p>
        </w:tc>
        <w:tc>
          <w:tcPr>
            <w:tcW w:w="1240" w:type="dxa"/>
            <w:vAlign w:val="bottom"/>
            <w:gridSpan w:val="19"/>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Executive</w:t>
            </w:r>
          </w:p>
        </w:tc>
      </w:tr>
      <w:tr>
        <w:trPr>
          <w:trHeight w:val="155"/>
        </w:trPr>
        <w:tc>
          <w:tcPr>
            <w:tcW w:w="1260" w:type="dxa"/>
            <w:vAlign w:val="bottom"/>
          </w:tcPr>
          <w:p>
            <w:pPr>
              <w:spacing w:after="0"/>
              <w:rPr>
                <w:sz w:val="13"/>
                <w:szCs w:val="13"/>
                <w:color w:val="auto"/>
              </w:rPr>
            </w:pPr>
          </w:p>
        </w:tc>
        <w:tc>
          <w:tcPr>
            <w:tcW w:w="1022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260" w:type="dxa"/>
            <w:vAlign w:val="bottom"/>
            <w:gridSpan w:val="1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60" w:type="dxa"/>
            <w:vAlign w:val="bottom"/>
            <w:gridSpan w:val="44"/>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8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56"/>
        </w:trPr>
        <w:tc>
          <w:tcPr>
            <w:tcW w:w="1260" w:type="dxa"/>
            <w:vAlign w:val="bottom"/>
          </w:tcPr>
          <w:p>
            <w:pPr>
              <w:spacing w:after="0"/>
              <w:rPr>
                <w:sz w:val="13"/>
                <w:szCs w:val="13"/>
                <w:color w:val="auto"/>
              </w:rPr>
            </w:pPr>
          </w:p>
        </w:tc>
        <w:tc>
          <w:tcPr>
            <w:tcW w:w="10380" w:type="dxa"/>
            <w:vAlign w:val="bottom"/>
            <w:tcBorders>
              <w:top w:val="single" w:sz="8" w:color="0000FF"/>
            </w:tcBorders>
            <w:gridSpan w:val="40"/>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00" w:type="dxa"/>
            <w:vAlign w:val="bottom"/>
            <w:gridSpan w:val="5"/>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gridSpan w:val="37"/>
          </w:tcPr>
          <w:p>
            <w:pPr>
              <w:ind w:left="820"/>
              <w:spacing w:after="0"/>
              <w:rPr>
                <w:sz w:val="20"/>
                <w:szCs w:val="20"/>
                <w:color w:val="auto"/>
              </w:rPr>
            </w:pPr>
            <w:r>
              <w:rPr>
                <w:rFonts w:ascii="Times New Roman" w:cs="Times New Roman" w:eastAsia="Times New Roman" w:hAnsi="Times New Roman"/>
                <w:sz w:val="18"/>
                <w:szCs w:val="18"/>
                <w:color w:val="auto"/>
              </w:rPr>
              <w:t>E-14</w:t>
            </w:r>
          </w:p>
        </w:tc>
      </w:tr>
      <w:tr>
        <w:trPr>
          <w:trHeight w:val="358"/>
        </w:trPr>
        <w:tc>
          <w:tcPr>
            <w:tcW w:w="1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97.1</w:t>
            </w:r>
          </w:p>
        </w:tc>
        <w:tc>
          <w:tcPr>
            <w:tcW w:w="99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Charter Communications, Inc. Compensation Recovery Policy, effective as of October 1, 2023 (incorporated by reference to Exhibit 97.1</w:t>
              </w:r>
            </w:hyperlink>
          </w:p>
        </w:tc>
      </w:tr>
      <w:tr>
        <w:trPr>
          <w:trHeight w:val="155"/>
        </w:trPr>
        <w:tc>
          <w:tcPr>
            <w:tcW w:w="1240" w:type="dxa"/>
            <w:vAlign w:val="bottom"/>
          </w:tcPr>
          <w:p>
            <w:pPr>
              <w:spacing w:after="0"/>
              <w:rPr>
                <w:sz w:val="13"/>
                <w:szCs w:val="13"/>
                <w:color w:val="auto"/>
              </w:rPr>
            </w:pPr>
          </w:p>
        </w:tc>
        <w:tc>
          <w:tcPr>
            <w:tcW w:w="8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to the Annual Report on Form 10-K of Charter Communications, Inc. filed on February 2, 2024 (File No. 001-33664)).</w:t>
              </w:r>
            </w:hyperlink>
          </w:p>
        </w:tc>
        <w:tc>
          <w:tcPr>
            <w:tcW w:w="1380" w:type="dxa"/>
            <w:vAlign w:val="bottom"/>
          </w:tcPr>
          <w:p>
            <w:pPr>
              <w:spacing w:after="0"/>
              <w:rPr>
                <w:sz w:val="13"/>
                <w:szCs w:val="13"/>
                <w:color w:val="auto"/>
              </w:rPr>
            </w:pPr>
          </w:p>
        </w:tc>
      </w:tr>
    </w:tbl>
    <w:p>
      <w:pPr>
        <w:spacing w:after="0" w:line="36" w:lineRule="exact"/>
        <w:rPr>
          <w:sz w:val="20"/>
          <w:szCs w:val="20"/>
          <w:color w:val="auto"/>
        </w:rPr>
      </w:pPr>
    </w:p>
    <w:p>
      <w:pPr>
        <w:jc w:val="both"/>
        <w:ind w:left="1260" w:hanging="1234"/>
        <w:spacing w:after="0" w:line="220"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CCO Holdings, LLC’s Annual Report on Form 10-K for the year ended December 31, 2025, filed with the Securities and Exchange Commission on January 30, 2026, formatted in iXBRL (inline eXtensible Business Reporting Language) includes: (i) the Consolidated Balance Sheets; (ii) the Consolidated Statements of Operations; (iii) the Consolidated Statements of Changes in Member’s Equity; (iv) the Consolidated Statements of Cash Flows; and (vi) the Notes to the Consolidated Financial Statements.</w:t>
      </w:r>
    </w:p>
    <w:p>
      <w:pPr>
        <w:sectPr>
          <w:pgSz w:w="11900" w:h="16838" w:orient="portrait"/>
          <w:cols w:equalWidth="0" w:num="1">
            <w:col w:w="11220"/>
          </w:cols>
          <w:pgMar w:left="320" w:top="1040"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in iXBRL and contained in Exhibit 101.</w:t>
      </w:r>
    </w:p>
    <w:p>
      <w:pPr>
        <w:spacing w:after="0" w:line="104" w:lineRule="exact"/>
        <w:rPr>
          <w:sz w:val="20"/>
          <w:szCs w:val="20"/>
          <w:color w:val="auto"/>
        </w:rPr>
      </w:pPr>
    </w:p>
    <w:p>
      <w:pPr>
        <w:sectPr>
          <w:pgSz w:w="11900" w:h="16838" w:orient="portrait"/>
          <w:cols w:equalWidth="0" w:num="2">
            <w:col w:w="540" w:space="720"/>
            <w:col w:w="9960"/>
          </w:cols>
          <w:pgMar w:left="320" w:top="10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1220"/>
          </w:cols>
          <w:pgMar w:left="320" w:top="1040" w:right="359" w:bottom="1440" w:gutter="0" w:footer="0" w:header="0"/>
          <w:type w:val="continuous"/>
        </w:sectPr>
      </w:pP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ind w:left="260" w:hanging="252"/>
        <w:spacing w:after="0" w:line="204" w:lineRule="auto"/>
        <w:tabs>
          <w:tab w:leader="none" w:pos="26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 or arrangement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type w:val="continuous"/>
        </w:sectPr>
      </w:pPr>
    </w:p>
    <w:bookmarkStart w:id="77" w:name="page78"/>
    <w:bookmarkEnd w:id="7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1"/>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2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20" w:type="dxa"/>
            <w:vAlign w:val="bottom"/>
            <w:gridSpan w:val="5"/>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60" w:type="dxa"/>
            <w:vAlign w:val="bottom"/>
          </w:tcPr>
          <w:p>
            <w:pPr>
              <w:spacing w:after="0"/>
              <w:rPr>
                <w:sz w:val="16"/>
                <w:szCs w:val="16"/>
                <w:color w:val="auto"/>
              </w:rPr>
            </w:pPr>
          </w:p>
        </w:tc>
      </w:tr>
      <w:tr>
        <w:trPr>
          <w:trHeight w:val="245"/>
        </w:trPr>
        <w:tc>
          <w:tcPr>
            <w:tcW w:w="94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Name: KPMG LLP</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94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Location: St. Louis, MO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94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Firm ID: 185</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94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1580" w:type="dxa"/>
            <w:vAlign w:val="bottom"/>
            <w:gridSpan w:val="3"/>
          </w:tcPr>
          <w:p>
            <w:pPr>
              <w:jc w:val="center"/>
              <w:ind w:left="111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15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Member’s Equity for the Years Ended December 31, 2025, 2024 and 2023</w:t>
            </w:r>
          </w:p>
        </w:tc>
        <w:tc>
          <w:tcPr>
            <w:tcW w:w="15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0000FF"/>
              </w:rPr>
              <w:t>F-6</w:t>
            </w:r>
          </w:p>
        </w:tc>
      </w:tr>
      <w:tr>
        <w:trPr>
          <w:trHeight w:val="210"/>
        </w:trPr>
        <w:tc>
          <w:tcPr>
            <w:tcW w:w="6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1260" w:type="dxa"/>
            <w:vAlign w:val="bottom"/>
            <w:tcBorders>
              <w:top w:val="single" w:sz="8" w:color="0000FF"/>
            </w:tcBorders>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10"/>
        </w:trPr>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8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0000FF"/>
              </w:rPr>
              <w:t>F-8</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60" w:top="887" w:right="5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Manager and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CCO Holdings, LLC and subsidiaries (the Company) as of December 31, 2025 and December 31, 2024, the related consolidated statements of operations, changes in member’s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Testing of residential and small business revenue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12 to the consolidated financial statements, the Company recorded residential and small business revenue of $46.9 billion for the year ended December 31, 2025. This revenue is derived primarily from monthly subscription charges from its internet, video, voice, and mobile services. Revenue is recognized as the services are provided to a customer on a monthly basis. The processing and recording of revenue are reliant upon multiple information technology (IT) systems.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small business revenue as a critical audit matter. Subjective auditor judgment was required in evaluating the sufficiency of audit evidence over residential and small business revenue due to the volume of data and the number of accounting systems. Specifically, obtaining an understanding of the systems and processes used in the Company’s recognition of residential and small business revenue and evaluating the related internal controls required significant audit effort, including specialized skills and knowledge related to 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9" w:name="page80"/>
    <w:bookmarkEnd w:id="79"/>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residential and small business revenue processes. This included manual and automated controls over the IT systems used for the processing and recording of residential and small business revenue. We involved IT professionals with specialized skills and knowledge, who assisted in testing certain IT applications that are used by the Company in its recognition of residential and small business revenue. We performed a software-assisted data analysis to test the relationships among certain revenue transactions during the year. We evaluated the sufficiency of audit evidence obtained by assessing the results of the procedures performed, including the appropriateness of the nature and extent of such evidence.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$219 and $204,</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 from related party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$41,311 and $39,216,</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45,599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42,084</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143,220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140,195</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151,982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02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11,643</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94,006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92,134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INSTALLMENT PLAN FINANCING FACILITY</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CCO Holdings member's equity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member’s equity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39,261</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151,982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148,371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54,607</w:t>
            </w:r>
          </w:p>
        </w:tc>
      </w:tr>
      <w:tr>
        <w:trPr>
          <w:trHeight w:val="196"/>
        </w:trPr>
        <w:tc>
          <w:tcPr>
            <w:tcW w:w="6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33,552</w:t>
            </w:r>
          </w:p>
        </w:tc>
      </w:tr>
      <w:tr>
        <w:trPr>
          <w:trHeight w:val="229"/>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w:t>
            </w:r>
          </w:p>
        </w:tc>
      </w:tr>
      <w:tr>
        <w:trPr>
          <w:trHeight w:val="229"/>
        </w:trPr>
        <w:tc>
          <w:tcPr>
            <w:tcW w:w="6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60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42,230</w:t>
            </w:r>
          </w:p>
        </w:tc>
      </w:tr>
      <w:tr>
        <w:trPr>
          <w:trHeight w:val="209"/>
        </w:trPr>
        <w:tc>
          <w:tcPr>
            <w:tcW w:w="6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12,377</w:t>
            </w:r>
          </w:p>
        </w:tc>
      </w:tr>
      <w:tr>
        <w:trPr>
          <w:trHeight w:val="196"/>
        </w:trPr>
        <w:tc>
          <w:tcPr>
            <w:tcW w:w="6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30"/>
        </w:trPr>
        <w:tc>
          <w:tcPr>
            <w:tcW w:w="6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07"/>
        </w:trPr>
        <w:tc>
          <w:tcPr>
            <w:tcW w:w="60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r>
      <w:tr>
        <w:trPr>
          <w:trHeight w:val="199"/>
        </w:trPr>
        <w:tc>
          <w:tcPr>
            <w:tcW w:w="6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6,718</w:t>
            </w:r>
          </w:p>
        </w:tc>
      </w:tr>
      <w:tr>
        <w:trPr>
          <w:trHeight w:val="230"/>
        </w:trPr>
        <w:tc>
          <w:tcPr>
            <w:tcW w:w="6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r>
      <w:tr>
        <w:trPr>
          <w:trHeight w:val="230"/>
        </w:trPr>
        <w:tc>
          <w:tcPr>
            <w:tcW w:w="6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4"/>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CCO Holdings member</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2" w:name="page83"/>
    <w:bookmarkEnd w:id="8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CCO HOLDINGS, LLC AND SUBSIDIARIES CONSOLIDATED STATEMENTS OF CHANGES IN MEMBER’S EQUITY (dollars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CCO Holdings</w:t>
            </w:r>
          </w:p>
        </w:tc>
        <w:tc>
          <w:tcPr>
            <w:tcW w:w="14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40" w:type="dxa"/>
            <w:vAlign w:val="bottom"/>
          </w:tcPr>
          <w:p>
            <w:pPr>
              <w:spacing w:after="0"/>
              <w:rPr>
                <w:sz w:val="17"/>
                <w:szCs w:val="17"/>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Total Member’s</w:t>
            </w:r>
          </w:p>
        </w:tc>
      </w:tr>
      <w:tr>
        <w:trPr>
          <w:trHeight w:val="241"/>
        </w:trPr>
        <w:tc>
          <w:tcPr>
            <w:tcW w:w="67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31,893</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parent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parent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39,261</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of net assets acquired by parent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parent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40,707</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r>
      <w:tr>
        <w:trPr>
          <w:trHeight w:val="23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3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6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Receivables from and payables to related party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15,729</w:t>
            </w:r>
          </w:p>
        </w:tc>
      </w:tr>
      <w:tr>
        <w:trPr>
          <w:trHeight w:val="199"/>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w:t>
            </w:r>
          </w:p>
        </w:tc>
      </w:tr>
      <w:tr>
        <w:trPr>
          <w:trHeight w:val="199"/>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22,062</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of equipment installment plan financing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(21,938)</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loans payable - related parties, net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parent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0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239"/>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6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3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cash, cash equivalents and restricted cash includes $121 million and $47 million of restricted cash included in prepaid expenses and other current assets in the consolidated balance sheets, respectively.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4" w:name="page85"/>
    <w:bookmarkEnd w:id="84"/>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CCO Holdings, LLC (together with its subsidiaries, “CCO Holdings,” or the “Company”) is a leading broadband connectivity company with services available to homes and small to large businesses through its Spectrum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The Company has evolved from providing cable TV to streaming, and from high-speed Internet to a converged broadband, WiFi and mobile experience. Over the Spectrum Fiber Broadband Network and supported by the Company’s 100% U.S.-based employees, the Company offers Seamless Connectivity and Entertainment with Spectrum Internet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Mobile, TV and Voice products.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Spectrum Management Holding Company, LLC (“Spectrum Management”) and Charter Communications Holdings Company, LLC (“Charter Holdco”). All of the outstanding capital stock of CCO Holdings Capital Corp. is owned by CCO Holdings. The consolidated financial statements include the accounts of CCO Holdings and all of its subsidiaries where the underlying operations reside. All significant intercompany accounts and transactions among consolidated entities have been eliminated. Charter, Spectrum Management and Charter Holdco have performed financing, cash management, treasury and other services for CCO Holdings on a centralized basis. Changes in member’s equity in the consolidated balance sheets related to these activities have been considered cash receipts (contributions) and payments (distributions) for purposes of the consolidated statements of cash flows and are reflected in financing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and valuation and impairment of franchise assets and goodwill. Actual results could differ from those estimates. Certain prior period amounts have been reclassified to conform with the 2025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CCO Holdings member for the years ended December 31, 2025, 2024 and 2023.</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the Company uses in the preparation of its consolidated financial statements are included, where applicable, in their respective footnotes. Below is a discussion of accounting policies and methods used in the Company's consolidated financial statements that are not presented within other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CCO Holdings and all entities in which CCO Holdings has a controlling interest. The noncontrolling interest on the Company’s balance sheet represents the third-party interest in CV of Viera, LLP, the Company's consolidated joint venture in a small cable system in Florida. All significant intercompany accounts and transactions among consolidated entities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(e.g., property, plant and equipment and finite-lived intangible assets) to be held and used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current or expected future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held for use were recorded in 2025,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guidance establishes a three-level hierarchy for disclosure of fair value measurements, based on the transparency of inputs to the valuation of an asset or liability as of the measurement date, as follows:</w:t>
      </w:r>
    </w:p>
    <w:p>
      <w:pPr>
        <w:spacing w:after="0" w:line="189"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financial instruments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equity method investments, franchises, property, plant, and equipment, and other intangible assets are not measured at fair value on a recurring basis; however, they are subject to fair value adjustments in certain circumstances, such as when there is evidence that an impairment may exist. When such impairments are recorded, fair values are generally classified within Level 3 of the valuation hierarchy.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payables and other current assets and liabilities approximate fair value because of the short maturity of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government assistance primarily consists of federal subsidies from the Rural Development Opportunity Fund (“RDOF”) and state broadband grants primarily funded by the American Rescue Plan Act of 2021 (“ARPA”) and the Broadband Equity, Access and Deployment (“BEAD”) program. The Company was awarded approximately $1.1 billion in federal subsidies in phase I of the RDOF auction to be received monthly over ten years to deploy and operate broadband services to unserved communities to more than one million estimated passings. For accounting purposes, RDOF subsidies are recorded as other revenues since the primary conditions for the receipt of the subsidies are the build out and operation of the broadband network over the ten years. During the years ended December 31, 2025, 2024 and 2023, other revenues included approximately $114 million, $108 million and $116 million of RDOF subsidy revenue,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broadband grants to construct broadband infrastructure to unserved and underserved communities by various state and local governments. As of December 31, 2025, the Company has been publicly awarded approximately $1.7 billion in state grants, of which approximately $1.3 billion of these state grants have been formalized into executed agreements. State grants are either a fixed subsidy or variable with a subsidy cap conditioned upon construction. Cash is paid either upon project completion, milestone completion, or in some instances a portion of grant is paid in advance. Prefunded grants are subject to recapture if buildouts are not completed. For accounting purposes state broadband grants 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recorded as a reduction to property, plant and equipment using a percentage of completion, since the primary conditions for these grants are to build out the broadband network. During the years ended December 31, 2025, 2024 and 2023, $339 million, $235 million and $70 million of state broadband grants were recorded as a reduction to property, plant and equipment in the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associated with marketing the Company’s products and services are generally expensed as costs are incurred.</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Mergers and Acquisitions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Transaction Agreement, at the closing of the Transaction:</w:t>
      </w:r>
    </w:p>
    <w:p>
      <w:pPr>
        <w:spacing w:after="0" w:line="25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Equity Sale, Charter will pay $3.5 billion in cash to Cox Enterprises;</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Contribution, Charter Holdings will (i) pay to Cox Enterprises $500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entity will assume Cox Communications’ approximately $12.6 billion in outstanding net debt and finance leases (assumed debt is on a pro forma basis contemplating Cox Communications refinancing of debt maturities occurring between signing and closing of the Cox Transactions).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on a composite basis by fixed asset category at the cable system level and not on a specific asset basis. For assets that are sold or retired, the estimated historical cost and related accumulated depreciation is removed. Costs associated with the placement of the customer drop to the dwelling and the placement of outlets within a dwelling along with the costs associated with the deployment of new customer premise equipment necessary to provide video, Internet or voice services are capitalized. Costs capitalized include materials, direct labor and overhead costs. The Company capitalizes direct labor and overhead using standards developed from actual costs and applicable operational data. The Company calculates standards annually (or more frequently if circumstances dictate) for items such as the labor rates, overhead rates, and the actual amount of time required to perform a capitalizable activity. Overhead costs are associated with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activities of the Company’s personnel and consist of compensation and other indirect costs associated with support functions. Indirect costs primarily include employee benefits and payroll taxes, and vehicle and occupancy costs.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including replacement of cable drops and outlets, are capitalized.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using the straight-line composite method over management’s estimate of the useful lives of the related assets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 years</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Depreciation expense for the years ended December 31, 2025, 2024 and 2023 was $8.1 billion, $7.8 billion, and $7.6 billion,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as of December 31, 2025 and 2024:</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00"/>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r>
      <w:tr>
        <w:trPr>
          <w:trHeight w:val="229"/>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r>
      <w:tr>
        <w:trPr>
          <w:trHeight w:val="229"/>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(39,216)</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42,084</w:t>
            </w:r>
          </w:p>
        </w:tc>
      </w:tr>
      <w:tr>
        <w:trPr>
          <w:trHeight w:val="20"/>
        </w:trPr>
        <w:tc>
          <w:tcPr>
            <w:tcW w:w="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therefore cannot reasonably estimate any liabilities associated with such agreements. A remote possibility exists that franchise agreements could be terminated unexpectedly, which could result in the Company incurring significant expense in complying with restoration or removal provisions. The Company does not have any significant liabilities related to asset retirements recorded in its consolidated financial statements.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Franchises,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The Company has concluded that all of its franchises qualify for indefinite life treatment given that there are no legal, regulatory, contractual, competitive, economic or other factors which limit the period over which these rights will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contribute to the Company's cash flows. The Company reassesses this determination periodically or whenever events or substantive changes in circumstances occur.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Franchises are aggregated into essentially inseparable units of accounting to conduct valuations. The franchise units of accounting are geographical clustering of cable systems into groups representing the highest and best use if sold to market participants. The Company performed a quantitative impairment analysis as of October 31, 2025 utilizing a multi-period excess earnings method, a discounted cash flow income approach which isolates discrete cash flows attributable to the franchise intangibles from the business enterprise cash flows. The income approach incorporated updated projections of the business enterprise cash flows, allocations of cash flows attributable to franchise intangibles, and current market assumptions for growth rates and discount rates. Based on the Company’s quantitative analysis, the Company concluded that the fair value of the franchises in each unit of accounting exceeds the carrying value of such assets.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also tested for impairment annually or more frequently as warranted by events or changes in circumstances. The Company has determined that it has one reporting unit for purposes of the assessment of goodwill impairment. As with the Company’s franchise impairment testing, the Company elected to perform a quantitative goodwill impairment analysis as of October 31, 2025. The Company changed the annual goodwill impairment test date to October 31 from the November 30 date used in the prior year’s qualitative assessment to allow for sufficient time to complete the quantitative analysis in conjunction with the year-end financial reporting process. The quantitative analysis considers whether the carrying amount of a reporting unit exceeds its fair value of the reporting unit, in which case an impairment charge is recorded to the extent the reporting unit’s carrying value exceeds its fair value. As a result of that assessment, the Company concluded that goodwill is not impaired.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relationships are recorded at fair value as of the date acquired less accumulated amortization. Customer relationships are amortized on an accelerated sum of years’ digits method over useful lives of 10-15 years based on the period over which current customers are expected to generate cash flows. The Company periodically evaluates the remaining useful lives of its customer relationships to determine whether events or circumstances warrant revision to the remaining periods of amortization. Customer relationships are evaluated for impairment upon the occurrence of events or changes in circumstances indicating that the carrying amount of an asset may not be recoverable. Customer relationships are deemed impaired when the carrying value exceeds the projected undiscounted future cash flows associated with the customer relationships. No impairment of customer relationships was recorded in the years ended December 31, 2025, 2024 or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approximately $464 million of Citizens Broadband Radio Service ("CBRS") priority access licenses. The wireless spectrum licenses are considered indefinite life intangible assets recorded in other noncurrent assets on the Company's consolidated balance sheets. The Company elected to perform a qualitative impairment assessment in 2025 and concluded that its CBRS priority access licenses are not impaired.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indefinite-lived and finite-lived intangible assets are presented in the following table:</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324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2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Wireless spectrum licenses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07"/>
        </w:trPr>
        <w:tc>
          <w:tcPr>
            <w:tcW w:w="3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97,600</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3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4"/>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3"/>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35"/>
        </w:trPr>
        <w:tc>
          <w:tcPr>
            <w:tcW w:w="3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customer relationships and other intangible assets for the years ended December 31, 2025, 2024 and 2023 was $585 million, $838 million and $1.1 billion,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expects amortization expense on its finite-lived intangible assets will be as follows.</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9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new intangible asset acquisitions or divestitures, changes in useful lives, impairments, adoption of new accounting standards and other relevant factors.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Investments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are accounted for under the equity method of accounting or as equity securities, all of which are recorded in other noncurrent assets in the consolidated balance sheets as of December 31, 2025 and 2024. The Company applies the equity method to investments when it has the ability to exercise significant influence over the operating and financial policies of the investee. The Company’s share of the investee’s earnings (losses) is included in other expenses, net in the consolidated statements of operations. The Company monitors its investments for indicators that a decrease in investment value has occurred that is other-than-temporary. If it has been determined that an investment has sustained an other-than-temporary decline in value, the investment is written down to fair value with a charge to earnings. Investments acquired are measured at fair value utilizing the acquisition method of accounting. The difference between the fair value and the amount of underlying equity in net assets for most equity method investments is due to unrecognized intangible assets at the investee. These amounts 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as a component of equity earnings (losses), recorded within other expenses, net over the estimated useful life of the asset.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2025 and 2024:</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20" w:type="dxa"/>
            <w:vAlign w:val="bottom"/>
          </w:tcPr>
          <w:p>
            <w:pPr>
              <w:spacing w:after="0"/>
              <w:rPr>
                <w:sz w:val="19"/>
                <w:szCs w:val="19"/>
                <w:color w:val="auto"/>
              </w:rPr>
            </w:pPr>
          </w:p>
        </w:tc>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2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method investments primarily includes the Company's 50/50 joint venture with Comcast Corporation ("Comcast") in Xumo Services, LLC ("Xumo"), a next generation streaming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equity method investments balances reflected in the table above includes differences between the acquisition date fair value of certain investments acquired and the underlying equity in the net assets of the investee, referred to as a basis difference. This basis difference is amortized as a component of equity earnings. The remaining unamortized basis difference was $145 million and $240 million as of December 31, 2025 and 2024, respectively.</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net losses from investments were $309 million, $336 million and $331 million, respectively, which were recorded in other expenses, net in the consolidated statements of operations. Losses on equity investments, net for years ended December 31, 2025, 2024 and 2023 are primarily related to our joint venture in Xumo.</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Accounts Payable, 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 consist of the following as of December 31, 2025 and 2024:</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costs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3"/>
        </w:trPr>
        <w:tc>
          <w:tcPr>
            <w:tcW w:w="808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11,643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 supply chain finance (“SCF”) program, the Company has agreements with third parties that allow its participating vendors to finance payment obligations from the Company with designated third-party financial institutions who act as its paying agent. The Company has generally extended its payment terms with vendors. A participating vendor may request a participating financial institution to finance one or more of the Company's payment obligations to such vendor prior to the scheduled due date thereof at a discounted price. The Company is not required to provide collateral to the financial institutions. The Company's obligations to participating vendors, including amounts due and scheduled payment dates, are not impacted by the vendors’ decisions to finance amounts due under these financing arrangements. Cash outflows to the financial institutions are classified as cash flows from operating and investing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SCF program is summarized as follows for the years ended December 31, 2025 and 2024 and are included in accounts payable - trade and accrued capital expenditures in the table above: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confirmed during the year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paid during the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(2,722)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 deferred payment program, the Company has agreements with third parties to pay certain invoices when due, and the Company pays the third parties at a later date, the invoice amount plus interest. Cash outflows to the financial institutions are classified as cash flows from financing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deferred payment program is summarized as follows for the years ended December 31, 2025 and 2024 and are included in short-term borrowings in the table above: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confirmed during the year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paid during the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leased asset classes of the Company include real estate, dark fiber, colocation facilities and other equipment. The lease agreements include both lease and non-lease components, which the Company accounts for separately depending on the election made for each leased asset class. For real estate and dark fiber leased asset classes, the Company accounts for lease and non-lease components as a single lease component and includes all fixed payments in the measurement of lease liabilities and lease assets. For colocation facilities leased asset class, the Company accounts for lease and non-lease components separately including only the fixed lease payment component in the measurement of lease liabilities and lease assets.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assets and lease liabilities are initially recognized based on the present value of the future lease payments over the expected lease term. As for most leases the implicit rate is not readily determinable, the Company uses a discount rate in determining the present value of future payments based on the yield-to-maturity of the Company’s secured publicly traded United States dollars denominated debt instruments interpolating the duration of the debt to the term of the executed lease.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leases have base rent periods and some with optional renewal periods. Leases with base rent periods of less than 12 months are not recorded on the balance sheet. For purposes of measurement of lease liabilities, the expected lease terms may include renewal options when it is reasonably certain that the Company will exercise such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were $488 million, $465 million and $457 million for the years ended December 31, 2025, 2024 and 2023, respectively, inclusive of both short-term lease costs and variable lease costs that were not included in the measurement of operating lease liabilities.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recorded as operating cash flows in the statements of cash flows, were $334 million, $335 million and $325 million for the years ended December 31, 2025, 2024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2023, respectively. Operating lease right-of-use assets obtained in exchange for operating lease obligations were $345 million, $275 million and $313 million for the years ended December 31, 2025,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Included within other noncurrent assets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1,172</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4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Current portion included within accounts payable, accrued and other current 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 included within other long-term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w w:val="98"/>
              </w:rPr>
              <w:t>5.5 years</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years</w:t>
            </w:r>
          </w:p>
        </w:tc>
        <w:tc>
          <w:tcPr>
            <w:tcW w:w="0" w:type="dxa"/>
            <w:vAlign w:val="bottom"/>
          </w:tcPr>
          <w:p>
            <w:pPr>
              <w:spacing w:after="0"/>
              <w:rPr>
                <w:sz w:val="1"/>
                <w:szCs w:val="1"/>
                <w:color w:val="auto"/>
              </w:rPr>
            </w:pPr>
          </w:p>
        </w:tc>
      </w:tr>
      <w:tr>
        <w:trPr>
          <w:trHeight w:val="230"/>
        </w:trPr>
        <w:tc>
          <w:tcPr>
            <w:tcW w:w="38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553"/>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cash flow commitments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Reconciling impact from discounting</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83"/>
        </w:trPr>
        <w:tc>
          <w:tcPr>
            <w:tcW w:w="57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on consolidated balance sheet as of December 31, 2025</w:t>
            </w: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Total Debt</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summary of our debt as of December 31, 2025 and 2024 is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27,197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25,634</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27,182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24,881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notes and debentures</w:t>
            </w:r>
            <w:r>
              <w:rPr>
                <w:rFonts w:ascii="Times New Roman" w:cs="Times New Roman" w:eastAsia="Times New Roman" w:hAnsi="Times New Roman"/>
                <w:sz w:val="9"/>
                <w:szCs w:val="9"/>
                <w:color w:val="auto"/>
              </w:rPr>
              <w:t>(a)</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55,658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48,030</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56,195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56,475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47,896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9"/>
                <w:szCs w:val="9"/>
                <w:color w:val="auto"/>
              </w:rPr>
              <w:t>(b)</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11,901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10,334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10,276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10,079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94,756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85,467</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93,779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93,933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82,856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aggregate principal amount of fixed-rate British pound sterling denominated notes (the “Sterling Notes”) (remeasured at $842 million and $782 million as of December 31, 2025 and 2024, respectively, using the exchange rate at the respective dates) and the Company's £650 million aggregate principal amount of Sterling Notes (remeasured at $876 million and $813 million as of December 31, 2025 and 2024, respectively, using the exchange rate at the respective dates).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3" w:name="page94"/>
    <w:bookmarkEnd w:id="93"/>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ind w:left="340" w:hanging="332"/>
        <w:spacing w:after="0" w:line="229" w:lineRule="auto"/>
        <w:tabs>
          <w:tab w:leader="none" w:pos="32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had availability under the Charter Communications Operating, LLC ("Charter Operating") credit facilities of approximately $4.4 billion as of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December 31, 2025 and 2024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Charter Operating and Charter Communications Operating Capital Corp. jointly issued $1.25 billion of 5.850% senior secured notes due December 2035 at a price of 99.932% of the aggregate principal amount and $750 million of 6.700% senior secured notes due December 2055 at a price of 99.832% of the aggregate principal amount. The net proceeds were used for general corporate purposes, including to repay certain indebtedness, including Charter Operating’s 6.150% senior secured notes due 2026, to fund potential buybacks of Charter Class A common stock and Charter Holdings common units, and to pay related fees and expenses. The transactions resulted in a loss on extinguishment of debt of approximately $28 million during the year ended December 31, 2025 recorded in other expenses, net in the consolidated statement of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CCO Holdings and CCO Holdings Capital Corp. jointly issued $1.75 billion aggregate principal amount of 7.000% senior notes due February 2033 at par and $1.25 billion aggregate principal amount of 7.375% senior notes due February 2036 at par. The net proceeds will be used for general corporate purposes, including to repay certain indebtedness, including the call of $750 million of CCO Holdings 5.500% senior notes due 2026 and the partial call of $2.25 billion of CCO Holdings 5.125% senior notes due 2027.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CCO Holdings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CCO Holdings notes are senior debt obligations of CCO Holdings and CCO Holdings Capital Corp. and rank equally with all other current and future unsecured, unsubordinated obligations of CCO Holdings and CCO Holdings Capital Corp. They are structurally subordinated to all obligations of subsidiaries of CCO Holdings.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CCO Holdings may redeem some or all of the CCO Holdings notes at any time at a premium. The optional redemption price declines to 100% of the respective series’ principal amount, plus accrued and unpaid interest, if any, on or after varying dates in 2026 through 2034.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varying dates in 2026 to 2029, CCO Holdings may redeem up to 40% of the aggregate principal amount of certain notes at a premium plus accrued and unpaid interest to the redemption date, with the net cash proceeds of one or more equity offerings (as defined in the indenture); provided that certain conditions are met. In the event of specified change of control events, CCO Holdings must offer to purchase the outstanding CCO Holdings notes from the holders at a purchase price equal to 101% of the total principal amount of the notes, plus any accrued and unpaid interest.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governing the CCO Holdings notes contain certain covenants that restrict the ability of CCO Holdings, CCO Holdings Capital Corp. and all of their restricted subsidiaries to:</w:t>
      </w:r>
    </w:p>
    <w:p>
      <w:pPr>
        <w:spacing w:after="0" w:line="18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320" w:hanging="312"/>
        <w:spacing w:after="0" w:line="236"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the issuer. The maximum total leverage ratio under the indentures is 6.0 to 1.0. The leverage ratio was 4.0 as of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guaranteed by CCO Holdings and substantially all of the subsidiaries of Charter Operating. In addition, the Charter Operating notes are secured by a perfected first priority security interest in substantially all of the assets of Charter Operating and substantially all of its subsidiaries to the extent such liens can be perfected under the Uniform Commercial Code by the filing of a financing statement and the liens rank equally with the liens on the collateral securing obligations under the Charter Operating credit facilities. Charter Operating may redeem some or all of the Charter Operating notes, prior to their respective par call dates, at any time at a premium.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subject to the terms and conditions of the indentures governing the Charter Operating notes. The Charter Operating notes indentures contain customary representations and warranties and affirmative covenants with customary negative covenants, including restrictions on the ability of Charter Operating or any of its material subsidiaries to incur liens securing indebtedness for borrowed money and on the ability of Charter Operating to consolidate, merge or convey or transfer substantially all of their assets. The Charter Operating indentures also contain customary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Credit Facilities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Operating credit facilities have an outstanding principal amount of $11.9 billion at December 31, 2025 as follows:</w:t>
      </w:r>
    </w:p>
    <w:p>
      <w:pPr>
        <w:spacing w:after="0" w:line="252" w:lineRule="exact"/>
        <w:rPr>
          <w:sz w:val="20"/>
          <w:szCs w:val="20"/>
          <w:color w:val="auto"/>
        </w:rPr>
      </w:pPr>
    </w:p>
    <w:p>
      <w:pPr>
        <w:jc w:val="both"/>
        <w:ind w:left="340" w:right="180" w:hanging="332"/>
        <w:spacing w:after="0" w:line="257"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A-6 Loan with a remaining principal amount of approximately $413 million, which is repayable in quarterly installments and aggregating $25 million in each loan year, with the remaining balance due at final maturity on August 31, 2028. Pricing on Term A-6 Loan is Secured Overnight Financing Rate (“SOFR”) plus 1.50%;</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A-7 Loan with a remaining principal amount of approximately $4.3 billion, which is repayable in quarterly installments and aggregating $227 million in each loan year, with the remaining balance due at final maturity on March 15, 2030. Pricing on Term A-7 Loan is SOFR plus 1.25%;</w:t>
      </w:r>
    </w:p>
    <w:p>
      <w:pPr>
        <w:jc w:val="both"/>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B-3 Loan with a remaining principal amount of approximately $729 million, which is repayable in equal quarterly installments and aggregating $8 million in each loan year, with the remaining balance due at final maturity on March 31, 2030. Pricing on Term B-3 Loan is SOFR plus 2.25%;</w:t>
      </w:r>
    </w:p>
    <w:p>
      <w:pPr>
        <w:spacing w:after="0" w:line="1" w:lineRule="exact"/>
        <w:rPr>
          <w:rFonts w:ascii="Times New Roman" w:cs="Times New Roman" w:eastAsia="Times New Roman" w:hAnsi="Times New Roman"/>
          <w:sz w:val="18"/>
          <w:szCs w:val="18"/>
          <w:color w:val="auto"/>
        </w:rPr>
      </w:pPr>
    </w:p>
    <w:p>
      <w:pPr>
        <w:jc w:val="both"/>
        <w:ind w:left="340" w:right="18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B-4 Loan with a remaining principal amount of approximately $2.0 billion, which is repayable in equal quarterly installments and aggregating $20 million in each loan year, with the remaining balance due at final maturity on December 7, 2030. Pricing on Term B-4 Loan is SOFR plus 2.00%;</w:t>
      </w:r>
    </w:p>
    <w:p>
      <w:pPr>
        <w:spacing w:after="0" w:line="1" w:lineRule="exact"/>
        <w:rPr>
          <w:rFonts w:ascii="Times New Roman" w:cs="Times New Roman" w:eastAsia="Times New Roman" w:hAnsi="Times New Roman"/>
          <w:sz w:val="18"/>
          <w:szCs w:val="18"/>
          <w:color w:val="auto"/>
        </w:rPr>
      </w:pPr>
    </w:p>
    <w:p>
      <w:pPr>
        <w:jc w:val="both"/>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B-5 Loan with a remaining principal amount of approximately $2.5 billion, which is repayable in equal quarterly installments and aggregating $25 million in each loan year, with the remaining balance due at final maturity on December 15, 2031. Pricing on Term B-5 Loan is SOFR plus 2.25%;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B allowing for borrowings of up to approximately $960 million maturing on August 31, 2027;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C with an outstanding balance of $2.1 billion and allowing for borrowings of up to $5.5 billion maturing on March 15, 2030.</w:t>
      </w:r>
    </w:p>
    <w:p>
      <w:pPr>
        <w:spacing w:after="0" w:line="23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Pricing on the revolving loans is SOFR plus 1.25% with a commitment fee based on Charter's corporate family rating and not to exceed 0.20%. As of December 31, 2025, $26 million of the revolving loans were utilized to collateralize a like principal amount of letters of credit out of $364 million of letters of credit issued on the Company’s behalf. Amounts outstanding under the Charter Operating credit facilities bear interest, at Charter Operating’s election, at a base rate, SOFR, as defined, plus an applicable margin. SOFR was 3.7% and 4.3% as of December 31, 2025 and 2024,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also allow us to enter into incremental term loans in the future, with amortization as set forth in the notices establishing such term loans. Although the Charter Operating credit facilities allow for the incurrence of a certain amount of incremental term loans subject to pro forma compliance with its financial maintenance covenants, no assurance can be given that the Company could obtain additional incremental term loans in the future if Charter Operating sought to do so or what amount of incremental term loans would be allowable at any given time under the terms of the Charter Operating credit facilities.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of Charter Operating under the Charter Operating credit facilities are guaranteed by CCO Holdings and substantially all of the subsidiaries of Charter Operating. The obligations are also secured by (i) a lien on substantially all of the assets of Charter Operating and substantially all of its subsidiaries, to the extent such lien can be perfected under the Uniform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Code by the filing of a financing statement, and (ii) a pledge of the equity interests directly or indirectly owned by Charter Operating in substantially all of its subsidiaries, as well as intercompany obligations owing to it and the guarantor subsidiaries by any of their affiliates.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contain representations and warranties, and customary affirmative and negative covenants, including restrictions on the ability of Charter Operating or any of its subsidiaries to incur liens securing indebtedness for borrowed money and on the ability of Charter Operating to consolidate, merge or convey or transfer substantially all of its assets. The financial covenants measure performance against standards set for leverage to be tested as of the end of each quarter. The Charter Operating credit facilities also contain customary events of default and the right to cure with respect to any defaults or events of default.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Charter Operating had a consolidated leverage ratio of approximately 2.8 and a consolidated first lien leverage ratio of 2.8. Both ratios are in compliance with the ratios required by the Charter Operating credit facilities of 5.0 to 1.0 consolidated leverage ratio and 4.0 to 1.0 consolidated first lien leverage ratio. A failure by Charter Operating to maintain the financial covenants would result in an event of default under the Charter Operating credit facilities and the debt of CCO Holdings.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Warner Cable, LLC Notes and Debentures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Warner Cable, LLC ("TWC, LLC") senior notes and debentures are guaranteed by CCO Holdings, Charter Operating and substantially all of the subsidiaries of Charter Operating (other than TWC, LLC) and rank equally with the liens on the collateral securing obligations under the Charter Operating notes and credit facilities. Interest on each series of TWC, LLC senior notes and debentures is payable semi-annually (with the exception of the Sterling Notes, which is payable annually) in arrears.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 LLC indentures contain customary covenants relating to restrictions on the ability of TWC, LLC or any of its material subsidiaries to incur liens securing indebtedness for borrowed money and on the ability of TWC, LLC and Time Warner Cable Enterprises LLC ("TWCE") to consolidate, merge or convey or transfer substantially all of their assets. The TWC, LLC indentures also contain customary events of default.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TWC, LLC senior notes and debentures may be redeemed in whole or in part at any time at TWC, LLC’s option at a redemption price equal to the greater of (i) all of the applicable principal amount being redeemed and (ii) the sum of the present values of the remaining scheduled payments on the applicable TWC, LLC senior notes and debentures discounted to the redemption date on a semi-annual basis (with the exception of the Sterling Notes, which are on an annual basis), at a comparable government bond rate plus a designated number of basis points as further described in the indenture and the applicable note or debenture, plus, in each case, accrued but unpaid interest to, but not including, the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offer to redeem all, but not less than all, of the Sterling Notes in the event of certain changes in the tax laws of the U.S. (or any taxing authority in the U.S.). This redemption would be at a redemption price equal to 100% of the principal amount, together with accrued and unpaid interest on the Sterling Notes to, but not including, the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TWCE Debentures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TWCE senior debentures are guaranteed by CCO Holdings, Charter Operating, and substantially all of the subsidiaries of Charter Operating (other than TWCE) and rank equally with the liens on the collateral securing obligations under the Charter Operating notes and credit facilities. Interest on each series of TWCE senior debentures is payable semi-annually in arrears. The TWCE senior debentures are not redeemable before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TWCE indentures contain customary covenants relating to restrictions on the ability of TWC, LLC, TWCE or any of its subsidiaries to incur liens securing indebtedness for borrowed money and on the ability of TWC, LLC and TWCE to consolidate, merge or convey or transfer substantially all of their assets. The TWCE indentures also contain customary events of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Distributions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by the Company’s subsidiaries to a parent company for payment of principal on parent company notes are restricted under the CCO Holdings indentures discussed above, unless there is no default under the applicable indenture, and unless CCO Holdings’ leverage ratio test is met at the time of such distribution. As of December 31, 2025, there was no default under any of these indentures and CCO Holdings met its applicable leverage ratio tests based on December 31, 2025 financial results. There can be no assurance that CCO Holdings will satisfy these tests at the time of the contemplated distribution.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the Company’s subsidiaries may be limited by applicable law, including the Delaware Limited Liability Company Act, under which the Company’s subsidiaries may make distributions if they have “surplus” as defined in the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Future Principal and Interest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have significant amounts of debt, and its business requires significant cash to fund principal and interest payments on its debt, capital expenditures and ongoing operations. As set forth below, the Company has significant future principal and interest payments. The Company continues to monitor the capital markets, and it expects to undertake refinancing transactions and utilize free cash flow and cash on hand to further extend or reduce the maturities of its principal obligations. The timing and terms of any refinancing transactions will be subject to market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payments on variable debt are estimated using amounts outstanding at December 31, 2025 and the average implied forward SOFR rates applicable for the quarter during the interest rate reset based on the yield curve in effect at December 31, 2025. Actual interest payments will differ based on actual SOFR rates and actual amounts outstanding for applicable periods. Based upon outstanding indebtedness as of December 31, 2025, the amortization of term loans, and the maturity dates for all senior and subordinated notes, total future principal and interest payments on the total borrowings under all debt agreements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36,628</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Equipment Installment Plan Financing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CCO EIP Financing, LLC (the “SPV Borrower”), a bankruptcy remote special purpose vehicle and consolidated subsidiary of the Company, is the borrower of a senior secured revolving credit facility to finance the purchase of equipment installment plan receivables (“EIP Receivables”) with a number of financial institutions (the “EIP Financing Facility”).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credit facility under the EIP Financing Facility bears interest on the outstanding borrowings based on lenders’ cost of funds plus an applicable margin and was 5.14% and 5.78% as of December 31, 2025 and 2024, respectively. In November 2025, the revolving credit facility under the EIP Financing Facility was amended to extend the maturity date and increase borrowing capacity to $2.0 billion, among other amendments. The EIP Financing Facility has a final maturity date of November 3, 2029, comprised of a twelve-month revolving loan period subject to renewal, and if not renewed, cash flows on EIP Receivables are applied to amortize the loan which may occur over a period of up to three years. As of December 31, 2025 and 2024, the carrying value of the EIP Financing Facility was $1.4 billion and $1.1 billion, respectively, and is included in the Company’s consolidated balance sheets.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7" w:name="page98"/>
    <w:bookmarkEnd w:id="97"/>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SPV Borrower’s sole business consists of the purchase or acceptance through capital contributions of the EIP Receivables from Spectrum Mobile Equipment, LLC, (the sole direct parent entity of SPV Borrower that originates the EIP Receivables) 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available to the SPV Borrower’s equity holders, and the assets of the SPV Borrower are not available to pay creditors of any other affiliate of the Company.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EIP Financing Facility is accounted for on a consolidated basis as a secured borrowing. As of December 31, 2025 and 2024, pledged EIP Receivables with an unpaid principal balance of $2.2 billion and $1.6 billion, respectively, included in accounts receivable, net and other noncurrent assets, and restricted cash of $121 million and $47 million, respectively,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spacing w:after="0" w:line="210"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cross-currency swaps have maturities of June 2031 and July 2042.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are not designated as hedges and are marked to fair value each period, with the impact recorded as a gain or loss on financial instruments in the consolidated statements of operations in other expenses, net. While these derivative instruments are not designated as hedges for accounting purposes, management continues to believe such instruments are closely correlated with the respective debt, thus managing associated risk. The fair value of the Company's cross-currency derivatives, which are classified within Level 2 of the valuation hierarchy, was $406 million and $504 million and is included in other long-term liabilities on its consolidated balance sheets as of December 31, 2025 and 2024,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expenses,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Revenues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Mobile service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Connectivity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r>
      <w:tr>
        <w:trPr>
          <w:trHeight w:val="229"/>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Video</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Voice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Residential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6"/>
              </w:rPr>
              <w:t>42,580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43,138</w:t>
            </w:r>
          </w:p>
        </w:tc>
      </w:tr>
      <w:tr>
        <w:trPr>
          <w:trHeight w:val="230"/>
        </w:trPr>
        <w:tc>
          <w:tcPr>
            <w:tcW w:w="4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 business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Mid-market &amp; large business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Commercial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3"/>
        </w:trPr>
        <w:tc>
          <w:tcPr>
            <w:tcW w:w="4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54,607</w:t>
            </w: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Services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customers are offered Internet, mobile, video and voice services primarily on a subscription basis. Mobile services are sold under unlimited data plans or by-the-gig data usage plans. The Company often provides multiple services to a customer. The transaction price for a bundle of services may be less than the sum of the standalone selling prices of each individual service. The Company allocates the bundle discount among the services to which the discount relates based on the relative standalone selling prices of those services. Generally, directly observable standalone selling prices are used for the revenue allocation. Customers are invoiced for subscription services in advance of the service period. Each subscription service provided is accounted for as a distinct performance obligation and revenue is recognized ratably over the monthly service period as the subscription services are delivered. Residential customers may generally cancel their subscriptions at the end of their monthly service period without penalty. Each optional service purchased is generally accounted for as a distinct performance obligation when purchased and revenue is recognized when the service is provided. Performance obligations relating to services provided by third-party content providers where the Company does not control the delivery of the services are presented net of costs paid because the Company is acting as an agent in such situations.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customer premise equipment ("CPE") where such CPE would qualify as a lease, the Company combines the operating lease with the subscription service revenue as a single performance obligation as the subscription service is the predominant component. Installation fees are deferred over the period the fee remains material to the customer, which the Company has estimated to be approximately six months. Sales commission costs are expensed as incurred as the amortization period is less than one year. Right-of-entry costs represent upfront costs incurred related to agreements entered into with multiple dwelling units (“MDUs”) including landlords, real estate companies or owners to gain access to a building in order to market and service customers who reside in the building. Right-of-entry costs are deferred as contract fulfillment costs and recognized over the term of the contracts.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Customers can purchase mobile equipment, including devices and accessory products, and have the option to pay for devices under interest-free monthly installment plans. The Company does not impute interest on equipment installment plans sold through its direct channel as the inherent financing component is not considered significant based on the commercial objective of the plans, interest rates prevailing in the marketplace and credit risks of the Company's customers. The sale of equipment is a separate performance obligation, therefore, revenue is recognized from the sale of equipment upon delivery and acceptance by the customer.</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imposed on the Company by various governmental authorities are passed through on a monthly basis to the Company’s customers and are periodically remitted to authorities. Fees of $889 million, $941 million and $993 million for the years 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2025, 2024 and 2023, respectively, are reported in revenues on a gross basis with a corresponding operating expense because the Company is acting as a principal. Certain taxes, such as sales taxes imposed on the Company’s customers, collected and remitted to state and local authorities are recorded on a net basis because the Company is acting as an agent in such situations.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business customers are offered Internet, mobile, video and voice services similar to those provided to residential customers. Small business customers may generally cancel their subscriptions at the end of their monthly service period without penalty. Each subscription service provided is accounted for as a distinct performance obligation and revenue is recognized ratably over the monthly service period as the subscription services are delivered.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to mid-market &amp; large business clients include more tailored communications products and managed service solutions to larger businesses, as well as high-capacity last-mile data connectivity services to mobile and wireline carriers on a wholesale basis. Services are primarily offered on a subscription basis with a contractually specified and non-cancelable service period, which is generally one to seven years with a weighted average term of approximately three years. Each subscription service provided is accounted for as a distinct performance obligation and revenue is recognized ratably over the contract period as the subscription services are delivered. Mid-market &amp; large business subscription services are billed as monthly recurring charges to customers and related installation services, if applicable, are billed upon completion of the customer installation. Installation services are not accounted for as distinct performance obligations, but rather a component of the connectivity services, and therefore upfront installation fees are deferred and recognized as revenue over the related contract period. Mid-market &amp; large business sales commission costs are deferred and recognized using a portfolio approach over a weighted-average contract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local, regional and national businesses the opportunity to advertise in individual and multiple service areas on cable television networks and digital outlets. Placement of advertising is accounted for as a distinct performance obligation and revenue is recognized at the point in time when the advertising is distributed. In some service areas, the Company has formed advertising interconnects or entered into representation agreements with other video distributors, under which the Company sells advertising on behalf of those distributors. In other service areas, the Company has entered into representation agreements under which another operator in the area will sell advertising on the Company’s behalf. For representation arrangements in which the Company controls the sale of advertising and acts as the principal to the transaction, the Company recognizes revenue earned from the advertising customer on a gross basis and the amount remitted to the distributor as an operating expense. For other representation arrangements in which the Company does not control the sale of advertising and acts as an agent to the transaction, the Company recognizes revenue net of any fee remitted to the distributor.</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balances that are not separately presented on the consolidated balance sheets that relate to the recognition of revenue and collection of the related cash, as well as the deferred costs associated with our contracts with customers consist of the following for the periods presented: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7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Equipment installment plan receivables, less allowance for doubtful accounts of $117 million and $99</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 respectively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30"/>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acquisition and fulfillment costs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payables, accrued and other current liabilities: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prepayments and upfront deferred installation fees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is summarized as follows for the years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Uncollected balances written off, net of recoveries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("CODM"), on a consolidated basis. The Company provides broadband connectivity services with all of its services delivered to customers over an advanced communications network. The CODM assesses performance and allocates resources based on the Company’s consolidated statements of operations, as the converged network requires the CODM to manage and evaluate the results of the business in a consolidated manner to drive efficiencies and develop uniform strategies. Accordingly, key components and processes of the Company’s operations are managed centrally, including contracting for programming, capital and new technology development and deployment, plant engineering, customer service, marketing, legal and government affairs. Segment asset information is not used by the CODM to allocate resources. Under this organizational and reporting structure, the Company has one reportable segment.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single reportable segment entity, the Company’s segment performance measure is net income attributable to Charter shareholders. See Note 12 for a description of the Company's disaggregated revenues by product line. Significant segment expenses are presented in the Company’s consolidated statements of operations. Additional disaggregated significant segment expenses on a functional basis, that are not separately presented on the Company’s consolidated statements of operations,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residential sales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29"/>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 (see Note 14)</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r>
      <w:tr>
        <w:trPr>
          <w:trHeight w:val="248"/>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video on demand and pay-per-view programming. Other costs of revenue include costs directly related to providing Internet, mobile, video and voice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Field and technology operations costs include indirect costs incurred to manage the Company's inside and outside cable network, including labor for the non-capitalizable portion of customer installations and service and repairs. Customer operations costs include call center labor costs for customer care, billing costs, bad debt expense, and collections. Marketing and residential sales costs represent the costs of marketing residential and business Internet, mobile, video and voice services and costs to sell to current and potential non-bulk residential customers,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1" w:name="page102"/>
    <w:bookmarkEnd w:id="101"/>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labor cost. Transition expenses represent incremental costs incurred to prepare for the integration of the Cox Transactions’ operations and to bring systems and processes into a uniform operating structure. Other expense includes corporate overhead costs, as well as certain indirect costs associated with Spectrum Business, Spectrum Reach, Spectrum Networks and Spectrum Community Solutions, including related sales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net</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Merger and acquisition costs</w:t>
            </w: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 charges, net primarily includes severance costs and net amounts of litigation settlements. Merger and acquisition costs represents costs incurred primarily in connection with the Cox Transactions, such as advisory, legal and accounting fees, among others. (Gain) loss on disposal of assets, net includes a $90 million impairment on the sale of non-strategic assets during the year ended December 31, 2025 and a $262 million gain on sale of towers during the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00"/>
        </w:trPr>
        <w:tc>
          <w:tcPr>
            <w:tcW w:w="6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(see Note 9)</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11)</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 (costs) (see Note 18)</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6)</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6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Charter’s stock incentive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 The stock incentive plan allows for the issuance of up to 23 million shares of Charter Class A common stock (or units convertible into Charter Class A common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restricted stock units, stock options as well as equity awards with market conditions are measured at the grant date fair value and amortized to stock compensation expense over the requisite service period. The fair value of stock options is estimated on the date of grant using the Black-Scholes option-pricing model and the fair value of equity awards with market conditions is estimated on the date of grant using Monte Carlo simulations. The grant date weighted average assumptions used during the years ended December 31, 2025, 2024 and 2023 were: risk-free interest rate of 4.5%, 3.9% and 3.7%, respectively; expected lives of 4.6 years, 5.0 years and 4.8 years, respectively; and expected volatility of 36.5%, 33% and 31%, respectively. The Company’s volatility assumptions represent management’s best estimate and were based on a review of Charter’s historical and implied volatility. Expected lives were estimated using historical exercise data. The valuations assume no dividends are paid. The Company has elected an accounting policy to assume zero forfeitures for stock awards grants and account for forfeitures when they occur.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2" w:name="page103"/>
    <w:bookmarkEnd w:id="102"/>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remaining to be recognized in future periods totaled $198 million for stock options, $1 million for restricted stock and $363 million for restricted stock units and the weighted average period over which they are expected to be recognized is 2 years for stock options, 4 months for restricted stock and 2 years for restricted stock units.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stock options for the years ended December 31, 2025, 2024 and 2023, is as follows (shares 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347.79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360.82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384.50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250.65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392.75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446.11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486.77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end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remaining</w:t>
            </w:r>
          </w:p>
        </w:tc>
        <w:tc>
          <w:tcPr>
            <w:tcW w:w="188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 years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5"/>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life</w:t>
            </w:r>
          </w:p>
        </w:tc>
        <w:tc>
          <w:tcPr>
            <w:tcW w:w="188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Options exercisable, end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417.10</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378.31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325.80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Options expected to vest, end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371.91</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gridSpan w:val="3"/>
            <w:vMerge w:val="continue"/>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 average fair value of</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131.31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126.13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for the years ended December 31, 2025, 2024 and 2023,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Pr>
          <w:p>
            <w:pPr>
              <w:spacing w:after="0"/>
              <w:rPr>
                <w:sz w:val="19"/>
                <w:szCs w:val="19"/>
                <w:color w:val="auto"/>
              </w:rPr>
            </w:pPr>
          </w:p>
        </w:tc>
        <w:tc>
          <w:tcPr>
            <w:tcW w:w="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units for the years ended December 31, 2025, 2024 and 2023,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is a single member limited liability company not subject to income tax. CCO Holdings holds all operations through indirect subsidiaries.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these indirect subsidiaries are limited liability companies that are not subject to income tax. Charter has elected the accounting policy not to allocate income taxes to its subsidiaries that are not subject to income tax. Certain indirect subsidiaries that are required to file separate returns are subject to federal and state tax. CCO Holdings’ tax provision reflects the tax provision of the entities required to file separate returns.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temporary differences between the financial reporting basis and the tax basis of these indirect subsidiaries' assets and liabilities and expected benefits of utilizing loss carryforwards. The impact on deferred taxes of changes in tax rates and tax law, if any, applied to the years during which temporary differences are expected to be settled, are reflected in the consolidated financial statements in the period of enactment.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taxable income, gains, losses, deductions and credits of CCO Holdings are passed through to its indirect members, Charter and Advance/Newhouse Partnership (“A/N”). Charter is responsible for its share of taxable income or loss of CCO Holdings allocated to it in accordance with the Charter Holdings Limited Liability Company Agreement and partnership tax rules and regulations. Charter also records financial statement deferred tax assets and liabilities related to its investment, and its underlying net assets, in CCO Holdings.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income tax expense as shown below. The tax provision in future periods will vary based on current and future temporary differences, as well as future operating results.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4" w:name="page105"/>
    <w:bookmarkEnd w:id="104"/>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that derived by applying the applicable federal income tax rate for the years ended December 31, 2025, 2024 and 2023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 at statutory 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allocated to limited liability companies not subject to income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contributes to the majority (greater than 50%) of the state tax effect for 2025,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Taxes Paid (Received)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(received) cash taxes for the years ended December 31, 2025, 2024 and 2023 as follows: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U.S federal income taxes, net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(received) for state and local income taxes, net</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48"/>
        </w:trPr>
        <w:tc>
          <w:tcPr>
            <w:tcW w:w="6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tax effects of these temporary differences that give rise to significant portions of the deferred tax assets and deferred tax liabilities at December 31, 2025 and 2024 are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29"/>
        </w:trPr>
        <w:tc>
          <w:tcPr>
            <w:tcW w:w="80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contains numerous business tax provisions, including business extenders made permanent such as restoration of 100% bonus depreciation, IRC Section 174 expensing for US-based research, and the EBITDA-based business interest expense limitation under IRC Section 163(j). The Company does not expect the OBBBA to have a material impact to income tax expense on its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2025 that could impact the effective tax rate is $104 million. These uncertain tax positions, if ever recognized in the financial statements, would be recorded in the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5" w:name="page106"/>
    <w:bookmarkEnd w:id="105"/>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as part of the income tax provision. A reconciliation of the beginning and ending amount of unrecognized tax benefits, exclusive of interest and penalties, is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2019, 2020 and 2021. Charter's 2022, 2023 and 2024 tax years remain open for examination and assessment. Charter’s 2017 and 2018 tax years remain open solely for purposes of loss and credit carryforwards. Charter’s short period return dated May 17, 2016 (prior to the merger with Time Warner Cable Inc. (“TWC”) and acquisition of Bright House Networks, LLC) and prior years remain open solely for purposes of examination of Charter’s loss and credit carryforwards. The IRS is currently examining Charter Holdings’ income tax returns for 2016, 2019, 2020 and 2021. Charter Holdings’ 2022, 2023 and 2024 tax years remain open for examination and assessment, while 2017 and 2018 remain open solely for purposes of credit carryforwards. The IRS is currently examining TWC’s income tax returns for 2011, 2012 and 2015. The 2013 and 2014 years were settled. The Company does not anticipate that these examinations will have a material impact on its consolidated financial position or results of operations. In addition, the Company is also subject to ongoing examinations of our tax returns by state and local tax authorities for various periods. Activity related to these state and local examinations did not have a material impact on the Company's consolidated financial position or results of operations during the year ended December 31, 2025, nor does the Company anticipate a material impact in the future.</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transactions in which the Company and a director, executive officer, or other related party of the Company are involved or, in the case of the management arrangements, subsidiaries that are debt issuers that pay certain of their parent companies for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is a party to management arrangements with its subsidiary, Spectrum Management and certain of their subsidiaries. Under these agreements, Charter, Spectrum Management and Charter Holdco provide management services for the cable systems owned or operated by their subsidiaries. Costs associated with providing these services are charged directly to the Company’s operating subsidiaries. All other costs incurred on behalf of Charter’s operating subsidiaries are considered a part of the management fee. These costs are recorded as a component of operating costs and expenses, in the accompanying consolidated financial statements. The management fee charged to the Company’s operating subsidiaries approximated the expenses incurred by Spectrum Management, Charter Holdco and Charter on behalf of the Company’s operating subsidiaries in 2025, 2024 and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Second Amended and Restated Stockholders Agreement among Charter, Liberty Broadband Corporation (“Liberty Broadband”) and A/N, dated as of May 23, 2015 (the “Existing Stockholders Agreement”), as amended by Amendment No. 1 to the Second Amended and Restated Stockholders Agreement and the Letter Agreement, dated as of November 12, 2024 (the “Stockholders and Letter Agreement Amendment”), the number of Charter’s directors is fixed at 13. Two designees selected by A/N are members of the Board of Directors of Charter and three designees selected by Liberty Broadband are members of the Board of Directors of Charter. The remaining eight directors are not designated by either A/N or Liberty Broadband. Each of A/N and Liberty Broadband is entitled to nominate at least one director to each of the committees of the Board of Directors of Charter, subject to applicable stock exchange listing rules and certain specified voting or equity ownership thresholds for each of A/N and Liberty Broadband, and provided that the Nominating and Corporate Governance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Committee and the Compensation and Benefit Committee each have at least a majority of directors that were not designated by either A/N or Liberty Broadband. Each of the Nominating and Corporate Governance Committee and the Compensation and Benefits Committee is currently comprised of three directors not designated by either A/N or Liberty Broadband and one designee of each of A/N and Liberty Broadband. A/N and Liberty Broadband also have certain other committee designation and governance rights. A description of the terms of the Stockholders and Letter Agreement Amendment is set forth below under “Stockholders and Letter Agreement Amendment.”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Pursuant to the Tax Receivable Agreement ("TRA") between Charter and A/N, Charter must pay to A/N 50% of the tax benefit when realized by Charter from the step-up in tax basis resulting from any future exchange or sale of the common units.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A description of the terms of the A/N Repurchase Letter Amendment is set forth below under “A/N Repurchase Letter Amendment.”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“Existing LBB Letter Agreement”), as amended by the Stockholders and Letter Agreement Amendment. The Existing LBB Letter Agreement implemented Liberty Broadband’s obligations under the Existing Stockholders Agreement to participate in share repurchases by Charter. The Existing LBB Letter Agreement was amended on November 12, 2024 pursuant to the Stockholders and Letter Agreement Amendment as described below under “Stockholders and Letter Agreement Amendment.”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Gregory Maffei, a former director of Charter and former President and CEO and director and holder of a 3.6% voting interest in Liberty Broadband, is Chairman of the board of directors of QVC Group, Inc. (formerly known as Qurate Retail, Inc.) (“QVC Group”). As reported in SEC filings of QVC Group and Mr. Maffei, Mr. Maffei has ownership of an approximate 18.2% voting interest in QVC Group. QVC Group wholly owns HSN, Inc. (“HSN”) and QVC, Inc. (“QVC”). The Company has programming relationships with HSN and QVC. For the years ended December 31, 2025, 2024 and 2023, the Company recorded revenue in aggregate of approximately $39 million, $48 million and $47 million, respectively, from HSN and QVC as part of channel carriage fees and revenue sharing arrangements for home shopping sales made to customers in the Company’s footprint.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5"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 right to receive 0.236 of a validly issued, fully paid and nonassessable share of Charter Class A common stock, par value $0.001 per share (“Charter Class A common stock”); and</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Liberty Broadband’s principal assets consist of approximately 41.5 million shares of Charter Class A common stock. Pursuant to the Merger Agreement, Liberty Broadband agreed to spin off its subsidiary, GCI, LLC, which was comprised of one operating entity, GCI Holdings, LLC (“GCI”), Alaska’s largest communications provider, by way of a distribution to the stockholders of Liberty Broadband prior to the closing of the Liberty Broadband Combination (the “GCI Divestiture”). The GCI Divestiture was completed on July 14, 2025. The GCI Divestiture is expected to be taxable to Liberty Broadband and its stockholders, with Charter bearing the corporate level tax liability upon completion of the Liberty Broadband Combination. However, to the extent such corporate level tax liability exceeds $420 million, Charter will be entitled under a tax receivables agreement to the portion of the tax benefits realized by GCI corresponding to such excess. The companies currently expect the transaction to close contemporaneously with the closing of the Cox Transactions, pursuant to the terms of the Liberty Side Letter described below, unless otherwise agreed, subject to customary closing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 Voting Agreements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on November 12, 2024, Dr. Malone’s affiliated holders of shares of Liberty Broadband common stock and Liberty Broadband preferred stock (collectively, the “Malone Group) entered into a voting agreement with Charter and Liberty Broadband, pursuant to which, subject to certain conditions, the Malone Group committed to vote its shares of Liberty Broadband common stock and Liberty Broadband preferred stock representing approximately 48.5%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November 12, 2024, Mr. Maffei and certain related holders of shares of Liberty Broadband common stock and Liberty Broadband preferred stock (collectively, the “Maffei Group”) entered into a voting agreement with Charter and Liberty Broadband, pursuant to which, subject to certain conditions, the Maffei Group committed to vote its shares of Liberty Broadband common stock and Liberty Broadband preferred stock representing approximately 3.7%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and Letter Agreement Amendment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entry into the Merger Agreement, Charter, Liberty Broadband and A/N entered into the Stockholders and Letter Agreement Amendment to amend (i) the Existing Stockholders Agreement and (ii) the Existing LBB Letter Agreement. The Stockholders and Letter Agreement Amendment sets forth, among other things, the terms of Liberty Broadband’s participation in Charter’s share repurchases during the period between the execution of the Merger Agreement and the effective time of the Liberty Broadband Combination.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unrestricted cash on the balance sheet of Liberty Broadband and its subsidiaries (other than GCI, GCI Spinco (as defined in the Merger Agreement) and their respective subsidiaries) of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 Other Agreements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Simultaneously with the entry into the Merger Agreement, certain additional related agreements were entered into by Charter and Liberty Broadband, including:</w:t>
      </w:r>
    </w:p>
    <w:p>
      <w:pPr>
        <w:spacing w:after="0" w:line="189" w:lineRule="exact"/>
        <w:rPr>
          <w:sz w:val="20"/>
          <w:szCs w:val="20"/>
          <w:color w:val="auto"/>
        </w:rPr>
      </w:pPr>
    </w:p>
    <w:p>
      <w:pPr>
        <w:jc w:val="both"/>
        <w:ind w:left="340" w:hanging="332"/>
        <w:spacing w:after="0" w:line="253"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Tax Sharing Agreement, by and among Charter, Liberty Broadband, Grizzly Merger Sub 1, LLC (successor to GCI Liberty, Inc. (“GCI Liberty”)) (“Grizzly Merger Sub”) and Qurate, pursuant to which Charter agrees to assume, effective at the Effective Time, Liberty Broadband’s rights and obligations under the Tax Sharing Agreement, dated as of March 9, 2018, by and between Qurate and Grizzly Merger Sub (the “Tax Sharing Agreement”). The Tax Sharing Agreement allocates responsibilities among Qurate Retail, GCI Liberty and their respective groups for various tax obligations, including any taxes imposed if the split-off transaction effected by Qurate Retail of GCI Liberty is deemed taxable (the “GCI Liberty Split-off”). The Tax Sharing Agreement also sets forth the rights and responsibilities of the parties with respect to tax return preparation and tax contests.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Indemnification Agreement, by and among Charter, Liberty Broadband, Grizzly Merger Sub, LV Bridge, LLC, Qurate and Liberty Interactive LLC (“Liberty Interactive”), pursuant to which Charter agrees to assume, effective at the Effective Time, Liberty Broadband’s rights and obligations under the Indemnification Agreement, dated as of March 9, 2018, by and among Grizzly Merger Sub, Qurate, Liberty Interactive and LV Bridge, LLC (the “Indemnification Agreement”). Under the Indemnification Agreement, GCI Liberty agreed to indemnify Liberty Interactive LLC with respect to any of Liberty Interactive’s 1.75% exchangeable debentures due 2046 (the “Liberty Charter Exchangeable Debentures”) surrendered for exchange to Liberty Interactive on or before October 5, 2023 for the amount by which the exchange value exceeds (i) the sum of the adjusted principal amount of such Liberty Charter Exchangeable Debentures plus (ii) the amount of certain tax benefits attributable to such Liberty Charter Exchangeable Debentures so exchanged. The Indemnification Agreement also provides, among other things, that Qurate Retail and GCI Liberty will indemnify each other and their respective subsidiaries, current and former directors, officers and employees, and each of their heirs, executors, trustees, administrators, successors and assigns with respect to certain potential losses in respect of the GCI Liberty Split-off.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Cox Transactions Voting Agreements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Cox Transactions, on May 16, 2025, Liberty entered into a voting agreement with Charter and Cox Enterprises, pursuant to which, subject to certain conditions, Liberty committed to vote its shares of Charter Class A common stock beneficially owned as of the applicable record date for the applicable stockholders meeting representing, as of May 16, 2025, approximately 28% of the total voting power of the issued and outstanding shares of Charter common stock in favor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Amendment (as defined in the Transaction Agreement) and the Equity Issuance and against any action or proposal in favor of any Columbus Acquisition Proposal (as defined in the Transaction Agreement) at any meeting of the stockholders of Charter called to vote upon such matters.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May 16, 2025, A/N entered into a voting agreement with Charter and Cox Enterprises, pursuant to which, subject to certain conditions, A/N committed to vote its shares of Charter Class A common stock and Class B common stock beneficially owned as of the applicable record date for the applicable stockholders meeting representing, as of May 16, 2025, approximately 12% of the total voting power of the issued and outstanding shares of Charter common stock in favor of the Certificate Amendment (as defined in the Transaction Agreement) and the Equity Issuance and against any action or proposal in favor of any Charter acquisition proposal (as defined in the Transaction Agreement) at any meeting of the stockholders of Charter called to vote upon such matters.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Side Letter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Cox Transactions, on May 16, 2025, Charter, Liberty, Fusion Merger Sub 1, LLC and Fusion Merger Sub 2, Inc. entered into a side letter (the “Liberty Side Letter”), pursuant to which, among other things, the parties agreed to accelerate the date of the closing of Liberty’s pending transaction with Charter (the “Liberty Closing”), as contemplated by the Merger Agreement, to occur on the earlier of (a) immediately prior to the closing of the Cox Transactions, (b) the later of (i) June 30, 2027 and (ii) the third business day after all conditions set forth in the Merger Agreement have been satisfied or waived (to the extent waivable), or at such other date and time as agreed to by the parties in writing or pursuant to Section 5.11(f) of the Merger Agreement and (c) solely if the Transaction Agreement is terminated in accordance with its terms (the “Cox Transaction Termination”), at Liberty’s election, the later of (i) the tenth business day after the Cox Transaction Termination and (ii) the third business day after all conditions set forth in the Liberty Merger Agreement have been satisfied or waived (to the extent waivable), or at such other date and time as agreed to by the parties in writing or pursuant to Section 5.11(f) of the Merger Agreement.</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Liberty has agreed to cause each of its director designees serving on the Board of Directors of Charter to resign, with such resignation conditioned on the occurrence of, and effective as of immediately prior to, the effective time of the Liberty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Repurchase Letter Amendment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2025, Charter, Charter Holdings and A/N entered into the A/N Repurchase Letter Amendment to amend the Existing A/N Repurchase Letter by and between Charter and A/N, which sets forth, among other things, the updated terms of A/N’s participation in Charter’s share repurchases going forward.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A/N Repurchase Letter Amendment, A/N will sell to Charter or to Charter Holdings, generally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Liberty or Cox Enterprises during such immediately preceding calendar month and excluding repurchases in privately negotiated transactions or deemed repurchases due to cashless exercise of or payment of withholding taxes with respect to director, officer or employee equity awards of Charter. The right to participate pro rata in repurchases on the terms and conditions set forth in the A/N Repurchase Letter Amendment is effective only from the earlier of the closing of the Cox Transactions and, in the event the Transaction Agreement is terminated in accordance with its terms, the date of such termination (such earlier date, the “Trigger Date”), and Charter has the right to terminate this arrangement (i) prior to the sixth anniversary of the Trigger Date, if an unforeseen circumstance arises that would cause the continued repurchases to result in any significant adverse impact to Charter as determined by Charter in good faith or (ii) at any time after such sixth anniversary. A/N has the right to terminate or suspend the repurchase arrangement at any time. Prior to the Trigger Date, the Existing A/N Repurchase Letter shall remain in full force and continue to govern A/N’s participation in Charter’s share repurchases, subject to certain amendments set forth in the A/N Repurchase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its parent companies have agreements with certain equity investees (see Note 6) pursuant to which the Company has made or received payments for the receipt of goods or services. The Company and its parent companies recorded payments to equity investees totaling $154 million, $189 million and $180 million during the years ended December 31, 2025, 2024 and 2023,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Company’s and its parent companies’ payment obligations as of December 31, 2025 for its contractual obligations which consists of guaranteed minimum commitments, including rights negotiated directly with content owners for distribution on company-owned channels or networks, commitments related to our role as an advertising and distribution sales agent for third party-owned channels or networks, commitments to our customer premise equipment and device vendors, contractual obligations related to third-party network augmentation and guaranteed minimum commitments under the Company’s programming contracts.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48"/>
        </w:trPr>
        <w:tc>
          <w:tcPr>
            <w:tcW w:w="9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items are not included in the contractual obligation table due to various factors discussed below. However, the Company incurs these costs as part of its operations:</w:t>
      </w:r>
    </w:p>
    <w:p>
      <w:pPr>
        <w:spacing w:after="0" w:line="189" w:lineRule="exact"/>
        <w:rPr>
          <w:sz w:val="20"/>
          <w:szCs w:val="20"/>
          <w:color w:val="auto"/>
        </w:rPr>
      </w:pPr>
    </w:p>
    <w:p>
      <w:pPr>
        <w:jc w:val="both"/>
        <w:ind w:left="340" w:hanging="332"/>
        <w:spacing w:after="0" w:line="257"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rents utility poles used in its operations. Generally, pole rentals are cancelable on short notice, but the Company anticipates that such rentals will recur. Rent expense incurred for pole rental attachments for the years ended December 31, 2025, 2024 and 2023 was $273 million, $243 million and $230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$526 million, $604 million and $664 million for the years ended December 31, 2025, 2024 and 2023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$364 million in letters of credit, of which $26 million are issued under the Charter Operating credit facility, primarily to its various casualty carriers as collateral for reimbursement of workers' compensation, auto liability and general liability claims, as well as $474 million of surety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California Attorney General and the Alameda County, California District Attorney are investigating whether certain of Charter’s waste disposal policies, procedures and practices are in violation of the California Business and Professions Code and the California Health and Safety Code. That investigation was commenced in January 2014. A similar investigation involving TWC was initiated in February 2012. Charter is cooperating with these investigations. While the Company is unable to predict the outcome of these investigations, it does not expect that the outcome will have a material effect on its operations, financial condition, or cash flows.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parent companies are defendants or co-defendants in several lawsuits involving alleged infringement of various intellectual property relating to various aspects of their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1" w:name="page112"/>
    <w:bookmarkEnd w:id="111"/>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license agreements with respect to the intellectual property at issue. While the Company believes the lawsuits are without merit and intends to defend the actions vigorously, no assurance can be given that any adverse outcome would not be material to the Company’s operations, consolidated financial condition, results of operations, or liquidity. The Company cannot predict the outcome of any such claims nor can it reasonably estimate a range of possible loss.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parent companies are party to other lawsuits, claims and regulatory inquiries or investigations that arise in the ordinary course of conducting their business or in connection with the Company’s participation in government funding programs. The ultimate outcome of these other legal matters pending against the Company cannot be predicted, and although such lawsuits and claims are not expected individually to have a material adverse effect on the Company’s operations, consolidated financial condition, results of operations or liquidity, such lawsuits could have, in the aggregate, a material adverse effect on the Company’s operations, consolidated financial condition, results of operations or liquidity. Whether or not the Company ultimately prevails in any particular lawsuit or claim, litigation can be time consuming and costly and injure the Company’s reputation.</w:t>
      </w: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qualified and unqualified defined benefit pension plans that provide pension benefits to a majority of employees who were employed by TWC before the merger with TWC. 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The Company has elected to follow a mark-to-market pension accounting policy for recording the actuarial gains or losses annually during the fourth quarter, or earlier if a remeasurement event occurs during an interim period.</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announced plans to fully terminate the qualified pension plan and purchased a buy-in group annuity contract (“GAC”) from a highly rated insurer. In 2025, pension obligations were distributed through lump sum payments to eligible participants who elected such payments. In December 2025, the buy-in GAC was converted to a buy-out with the remaining settlement obligation of $1.3 billion transferred to the insurer. The settlement of the qualified pension plan resulted in excess plan assets of approximately $131 million which were used as a qualified retirement plan transfer to the Company’s defined contribution benefit plans. The remaining $17 million projected benefit obligation as of December 31, 2025 is related to the Company’s unfunded unqualified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Changes in the projected benefit obligation, fair value of plan assets and funded status of the pension plans from January 1 through December 31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GAC settlement transfer of obligations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Lump sum cash settlement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GAC settlement transfer of obligations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Lump sum cash settlement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to defined contribution plans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6"/>
        </w:trPr>
        <w:tc>
          <w:tcPr>
            <w:tcW w:w="7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(unfunded) status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years ended December 31, 2025, 2024 and 2023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6"/>
              </w:rPr>
              <w:t>124</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(loss)</w:t>
            </w:r>
          </w:p>
        </w:tc>
        <w:tc>
          <w:tcPr>
            <w:tcW w:w="1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 (costs)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5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remeasurement gain recorded during the year ended December 31, 2025 was primarily driven by an actuarial gain from greater than expected lump sum take rate net of estimated plan termination costs. The remeasurement loss recorded during the year ended December 31, 2024 was primarily driven by losses to record pension assets to fair value. The remeasurement loss recorded during the year ended December 31, 2023 primarily reflects the measurement of the projected benefit obligations under a plan termination basis.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 rate used to determine benefit obligations as of December 31, 2024 was 5.08%. The Company utilized the 417(e) Applicable Mortality Table for lump sums for the portion of the benefit obligation not covered by the GAC as of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consisted of the following:</w:t>
      </w:r>
    </w:p>
    <w:p>
      <w:pPr>
        <w:spacing w:after="0" w:line="28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developing the expected long-term rate of return on plan assets, the Company considered the pension portfolio’s composition, past average rate of earnings and the Company’s future asset allocation targets. The Company determined the discount rates used to determine benefit obligations and net periodic pension benefit (costs) based on the yield of a large population of high-quality corporate bonds with cash flows sufficient in timing and amount to settle projected future defined benefit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of the qualified pension plan were held in a master trust in which the qualified pension plan was the only participating plan (the “Master Trust”). The following tables set forth the investment assets of the qualified pension plan by level within the fair value hierarchy as of December 31, 2024. In December 2025, following the settlement of the qualified pension plan benefit obligation, the excess plan assets were used as a qualified retirement plan transfer to the Company’s defined contribution benefit plans.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60" w:type="dxa"/>
            <w:vAlign w:val="bottom"/>
          </w:tcPr>
          <w:p>
            <w:pPr>
              <w:spacing w:after="0"/>
              <w:rPr>
                <w:sz w:val="19"/>
                <w:szCs w:val="19"/>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Collective trust funds</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Group annuity contract</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 and other receivables</w:t>
            </w: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(c)</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35" w:lineRule="auto"/>
        <w:tabs>
          <w:tab w:leader="none" w:pos="335"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Collective trust funds consist of short-term investment strategies comprised of instruments issued or fully guaranteed by the U.S. government and/or its agencies, which are valued using the net assets provided by the administrator of the fund. The value of each fund is based on the readily determinable fair value of the underlying assets owned by the fund, less liabilities, and then divided by the number of units outstanding.</w:t>
      </w:r>
    </w:p>
    <w:p>
      <w:pPr>
        <w:spacing w:after="0" w:line="2" w:lineRule="exact"/>
        <w:rPr>
          <w:rFonts w:ascii="Times New Roman" w:cs="Times New Roman" w:eastAsia="Times New Roman" w:hAnsi="Times New Roman"/>
          <w:sz w:val="23"/>
          <w:szCs w:val="23"/>
          <w:color w:val="auto"/>
          <w:vertAlign w:val="superscript"/>
        </w:rPr>
      </w:pPr>
    </w:p>
    <w:p>
      <w:pPr>
        <w:jc w:val="both"/>
        <w:ind w:left="340" w:hanging="332"/>
        <w:spacing w:after="0" w:line="229" w:lineRule="auto"/>
        <w:tabs>
          <w:tab w:leader="none" w:pos="32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2023, the Company purchased a buy-in GAC which was initially recorded at the $1.4 billion purchase price and subsequently adjusted to fair value using changes to market conditions impacting the cash flow assumptions that were priced into the original contract. In December 2025, the buy-in GAC was converted to a buy-out with the remaining settlement obligation transferred to the insurer.</w:t>
      </w:r>
    </w:p>
    <w:p>
      <w:pPr>
        <w:jc w:val="both"/>
        <w:ind w:left="340" w:hanging="332"/>
        <w:spacing w:after="0" w:line="234" w:lineRule="auto"/>
        <w:tabs>
          <w:tab w:leader="none" w:pos="335"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practical expedient, certain investment classes which hold securities that are not readily available for redemption and are measured at fair value using the net asset value ("NAV") per share (or its equivalent) have not been classified in the fair value hierarchy. The primary investment classes include alternative and real estate funds. Certain investments report NAV per share on a month or quarter lag. There are no material unfunded commitments with respect to these investment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GAC, which consist of Level 3 assets,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GAC buy-out</w:t>
            </w:r>
          </w:p>
        </w:tc>
        <w:tc>
          <w:tcPr>
            <w:tcW w:w="1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1"/>
        </w:trPr>
        <w:tc>
          <w:tcPr>
            <w:tcW w:w="6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Benefit Plans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may participate in the Charter Communications, Inc. 401(k) Savings Plan (the “401(k) Plan”). Employees that qualify for participation can contribute up to 50% of their salary, on a pre-tax basis, subject to a maximum contribution limit as determined by the IRS. The Company’s matching contribution is discretionary and is equal to 100% of the amount of the salary reduction the participant elects to defer (up to 6% of the participant’s eligible compensation), excluding any catch-up contributions and is paid by the Company on a per pay period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who are not eligible to participate in the Company’s long-term incentive plan and who are not covered by a collective bargaining agreement, the Company offers a contribution to the Retirement Accumulation Plan ("RAP"), equal to 3% of eligible pay. The Company made contributions to the 401(k) plan and RAP totaling $546 million, $574 million and $566 million for the years ended December 31,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Employee Stock Purchase Plan (“ESPP”) allows employees who are not eligible to participate in the Company’s long-term incentive plan to contribute up to 15% of their eligible earnings or $2,500, whichever is lower, toward the semi-annual purchase of shares of Charter Class A common stock. Participants also receive a matching grant of restricted stock units on the date of purchase, the size of which is determined based on the employee’s tenure. Shares of Charter Class A common stock purchased under the ESPP must be held for three years following the date of purchase in order for the matching restricted stock unit grant to cliff vest three years from the date of grant, subject to the participant remaining employed through that date. The ESPP allows for the issuance of 1.5 million shares of Charter Class A common stock. The number of shares issued under the ESPP was 168,269 during the year ended December 31, 2025.</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 (“ASU”) No. 2023-09, Improvements to Income Tax Disclosures (“ASU 2023-09”)</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that addresses requests for improved income tax disclosures from investors, lenders, creditors, and other allocators of capital that use the financial statements to make capital allocation decisions. The standard requires enhanced disclosures primarily related to existing rate reconciliation and income taxes paid information to help investors better assess how a company’s operations and related tax risks and tax planning and operational opportunities affect the company’s tax rate and prospects for future cash flows. 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(year ending December 31, 2025 for the Company). The Company adopted ASU 2023-09 for the year ended December 31, 2025 on a retrospective basis (see Note 15).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2024-03, Disaggregation of Income Statement Expenses - DISE (“ASU 2024-03”)</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that requires new financial statement disclosures in tabular format, disaggregating information about prescribed categories underlying any relevant income statement expense caption. Qualitative disclosures about any remaining amounts in relevant expense line items must be provided. Separate disclosures of total selling expenses and an entity’s definition of those expenses are also required. ASU 2024-03 is effective for annual periods beginning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December 15, 2026 (year ending December 31, 2027 for the Company). Early adoption is permitted. The Company expects the adoption of the standard to result in additional disaggregation of expense captions within its footnote disclosures.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ASU No. 2025-06, Intangibles - Goodwill and Other - Internal-Use Software (“Subtopic 350-40”): Targeted Improvements to the Accounting for Internal-Use Software (“ASU 2025-06”)</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which amends certain aspects of the accounting for and disclosure of software costs under Subtopic 350-40. The amendments improve the operability of the guidance by removing all references to software development project stages so that the guidance is neutral to different software development methods, including methods that entities may use to develop software in the future. ASU 2025-06 is effective for annual periods beginning after December 15, 2027 (year ending December 31, 2028 for the Company). The Company is currently evaluating the impact the adoption of ASU 2025-06 will have on its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2025-10, Accounting for Government Grants Received by Business Entities (“ASU 2025-10”)</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2025-10, to establish guidance on the recognition, measurement, and presentation of government grants received by business entities. ASU 2025-10 is effective for annual periods beginning after December 15, 2028 (year ending December 31, 2029 for the Company). The Company is currently evaluating the impact the adoption of ASU 2025-10 will have on its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Parent Company Only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result of limitations on, and prohibitions of, distributions, substantially all of the net assets of the consolidated subsidiaries are restricted from distribution to CCO Holdings, the parent company. The following condensed parent-only financial statements of CCO Holdings account for the investment in subsidiaries under the equity method of accounting. Comprehensive income equaled net income for the years ended December 31, 2025, 2024 and 2023. The financial statements should be read in conjunction with the consolidated financial statements of the Company and notes thereto.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68,248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68,269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LIABILITIES AND MEMBER’S EQUITY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27,182</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40,682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68,270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ind w:left="3820"/>
        <w:spacing w:after="0"/>
        <w:rPr>
          <w:sz w:val="20"/>
          <w:szCs w:val="20"/>
          <w:color w:val="auto"/>
        </w:rPr>
      </w:pPr>
      <w:r>
        <w:rPr>
          <w:rFonts w:ascii="Times New Roman" w:cs="Times New Roman" w:eastAsia="Times New Roman" w:hAnsi="Times New Roman"/>
          <w:sz w:val="18"/>
          <w:szCs w:val="18"/>
          <w:b w:val="1"/>
          <w:bCs w:val="1"/>
          <w:color w:val="auto"/>
        </w:rPr>
        <w:t>CCO HOLDINGS, LLC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where indicated)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CCO Holdings, LLC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r>
      <w:tr>
        <w:trPr>
          <w:trHeight w:val="20"/>
        </w:trPr>
        <w:tc>
          <w:tcPr>
            <w:tcW w:w="616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02"/>
        </w:trPr>
        <w:tc>
          <w:tcPr>
            <w:tcW w:w="7900" w:type="dxa"/>
            <w:vAlign w:val="bottom"/>
            <w:gridSpan w:val="5"/>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CCO Holdings, LLC (Parent Company Only)</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7200" w:type="dxa"/>
            <w:vAlign w:val="bottom"/>
            <w:gridSpan w:val="3"/>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4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Borders>
              <w:bottom w:val="single" w:sz="8" w:color="auto"/>
            </w:tcBorders>
          </w:tcPr>
          <w:p>
            <w:pPr>
              <w:spacing w:after="0"/>
              <w:rPr>
                <w:sz w:val="24"/>
                <w:szCs w:val="24"/>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7"/>
        </w:trPr>
        <w:tc>
          <w:tcPr>
            <w:tcW w:w="4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to subsidiaries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23"/>
        </w:trPr>
        <w:tc>
          <w:tcPr>
            <w:tcW w:w="4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36"/>
        </w:trPr>
        <w:tc>
          <w:tcPr>
            <w:tcW w:w="4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parent</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23"/>
        </w:trPr>
        <w:tc>
          <w:tcPr>
            <w:tcW w:w="4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37"/>
        </w:trPr>
        <w:tc>
          <w:tcPr>
            <w:tcW w:w="4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85"/>
        </w:trPr>
        <w:tc>
          <w:tcPr>
            <w:tcW w:w="4880" w:type="dxa"/>
            <w:vAlign w:val="bottom"/>
          </w:tcPr>
          <w:p>
            <w:pPr>
              <w:spacing w:after="0"/>
              <w:rPr>
                <w:sz w:val="24"/>
                <w:szCs w:val="24"/>
                <w:color w:val="auto"/>
              </w:rPr>
            </w:pPr>
          </w:p>
        </w:tc>
        <w:tc>
          <w:tcPr>
            <w:tcW w:w="232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9"/>
              </w:rPr>
              <w:t>F-40</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Issuers and Guarantors of Guaranteed Securities and Affiliate Securities Pledged as Collateral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as of December 31, 2025</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CCO Holdings, LLC, a Delaware limited liability company (the “Company”) and each of the CCOH Obligor Subsidiaries (as defined below), have fully and unconditionally guaranteed on a joint, several, full and unconditional basis each of the debt securities listed below, unless such subsidiary is an issuer of the listed debt security. Such guarantees are secured by substantially all of the assets of the CCOH Obligor Subsidiaries, including a pledge of the equity interests of substantially all of the subsidiaries owned by CCO and the other CCOH Obligor Subsidiaries (the “Pledged Equity Interests”).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Debt Securities Issued by Charter Communications Operating, LLC (“CCO”) and Charter Communications Operating Capital Corp. (“CCO Capital”), guaranteed by the Company and each of the CCOH Obligor Subsidiaries (as defined below, other than CCO and CCO Capital) and secured by the Pledged Equity Interests: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3.750% senior notes due February 15, 2028</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4.200% senior notes due March 15, 2028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2.250% senior notes due January 15,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5.050% senior notes due March 30,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6.100% senior notes due June 1, 2029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2.800% senior notes due April 1, 2031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2.300% senior notes due February 1, 2032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4.400% senior notes due April 1, 2033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6.650% senior notes due February 1, 2034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6.550% senior notes due June 1, 2034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6.384% senior notes due October 23, 2035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5.850% senior notes due December 1, 2035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5.375% senior notes due April 1, 2038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3.500% senior notes due June 1, 2041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3.500% senior notes due March 1, 2042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6.484% senior notes due October 23, 2045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5.375% senior notes due May 1, 2047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5.750% senior notes due April 1, 2048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5.125% senior notes due July 1, 2049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4.800% senior notes due March 1, 2050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3.700% senior notes due April 1, 2051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3.900% senior notes due June 1, 2052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5.250% senior notes due April 1, 2053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6.834% senior notes due October 23, 2055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6.700% senior notes due December 1, 2055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3.850% senior notes due April 1, 2061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4.400% senior notes due December 1, 2061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3.950% senior notes due June 30, 2062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5.500% senior notes due April 1, 2063</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Debt Securities Issued by Time Warner Cable, LLC (“TWC”), guaranteed by the Company and each of the CCOH Obligor Subsidiaries (as defined below, other than TWC) and secured by the Pledged Equity Interests: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5.750% sterling senior notes due June 2, 2031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6.550% senior debentures due May 1, 2037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7.300% senior debentures due July 1, 2038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6.750% senior debentures due June 15, 2039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5.875% senior debentures due November 15, 2040</w:t>
      </w:r>
    </w:p>
    <w:p>
      <w:pPr>
        <w:sectPr>
          <w:pgSz w:w="11900" w:h="16838" w:orient="portrait"/>
          <w:cols w:equalWidth="0" w:num="1">
            <w:col w:w="11240"/>
          </w:cols>
          <w:pgMar w:left="320" w:top="117"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5.500% senior debentures due September 1, 2041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5.250% sterling senior notes due July 15, 2042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4.500% senior debentures due September 15, 2042</w:t>
      </w:r>
    </w:p>
    <w:p>
      <w:pPr>
        <w:spacing w:after="0" w:line="2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Debt Securities Issued by Time Warner Cable Enterprises LLC (“TWCE”), guaranteed by the Company and each of the CCOH Obligor Subsidiaries (as defined below, other than TWCE) and secured by the Pledged Equity Interests: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8.375% senior debentures due July 15, 2033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“CCOH Obligor Subsidiaries”: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Bresnan Broadband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CCO NR Holdings,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ASC,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Operating,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Operating Capital Corp.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SSC,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VI HoldCo,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Communications VI,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Distribution,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Leasing Holding Company,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 Procurement Leasing,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DukeNet Communications,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Advanced Services,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Gulf Coast,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Mid-America,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Mobile Equipment,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Mobile,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New York Metro,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NLP,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Northeast,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Oceanic,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Originals Development,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Originals,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Pacific West,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Reach,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RSN,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Southeast,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Sunshine State,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TV Essentials,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Spectrum Wireless Holdings,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Warner Cable Enterprises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Warner Cable,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TWC Administration LLC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TWC Communications, LLC</w:t>
      </w:r>
    </w:p>
    <w:p>
      <w:pPr>
        <w:ind w:left="660"/>
        <w:spacing w:after="0"/>
        <w:rPr>
          <w:sz w:val="20"/>
          <w:szCs w:val="20"/>
          <w:color w:val="auto"/>
        </w:rPr>
      </w:pPr>
      <w:r>
        <w:rPr>
          <w:rFonts w:ascii="Times New Roman" w:cs="Times New Roman" w:eastAsia="Times New Roman" w:hAnsi="Times New Roman"/>
          <w:sz w:val="18"/>
          <w:szCs w:val="18"/>
          <w:color w:val="auto"/>
        </w:rPr>
        <w:t>TWC SEE Holdco LLC</w:t>
      </w:r>
    </w:p>
    <w:p>
      <w:pPr>
        <w:sectPr>
          <w:pgSz w:w="11900" w:h="16838" w:orient="portrait"/>
          <w:cols w:equalWidth="0" w:num="1">
            <w:col w:w="11240"/>
          </w:cols>
          <w:pgMar w:left="320" w:top="14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Manager and Member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LLC:</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333-275214) on Form S-3 of our report dated January 29, 2026, with respect to the consolidated financial statements of CCO Holdings, LLC.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CCO Holdings, LLC and CCO Holdings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1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CCO Holdings, LLC and CCO Holdings Capital Corp.;</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1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CCO Holdings, LLC and CCO Holdings Capital Corp. (the "Company") in compliance with 18 U.S.C. Section 1350, as adopted pursuant to Section 906 of the Sarbanes-Oxley Act of 2002, hereby certify that, the Company's Annual Report on Form 10-K for the year ended December 31, 2025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1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30, 2026</w:t>
      </w:r>
    </w:p>
    <w:p>
      <w:pPr>
        <w:sectPr>
          <w:pgSz w:w="11900" w:h="16838" w:orient="portrait"/>
          <w:cols w:equalWidth="0" w:num="1">
            <w:col w:w="11240"/>
          </w:cols>
          <w:pgMar w:left="320" w:top="122"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CCO Holdings, LLC and CCO Holdings Capital Corp. (the "Company"), in compliance with 18 U.S.C. Section 1350, as adopted pursuant to Section 906 of the Sarbanes-Oxley Act of 2002, hereby certify that, the Company's Annual Report on Form 10-K for the year ended December 31, 2025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30,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amp;"/>
      <w:numFmt w:val="bullet"/>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4"/>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lvl w:ilvl="1">
      <w:lvlJc w:val="left"/>
      <w:lvlText w:val="(%2)"/>
      <w:numFmt w:val="decimal"/>
      <w:start w:val="1"/>
    </w:lvl>
  </w:abstractNum>
  <w:abstractNum w:abstractNumId="32">
    <w:nsid w:val="70A64E2A"/>
    <w:multiLevelType w:val="hybridMultilevel"/>
    <w:lvl w:ilvl="0">
      <w:lvlJc w:val="left"/>
      <w:lvlText w:val="(%1)"/>
      <w:numFmt w:val="decimal"/>
      <w:start w:val="2"/>
    </w:lvl>
  </w:abstractNum>
  <w:abstractNum w:abstractNumId="33">
    <w:nsid w:val="6A2342EC"/>
    <w:multiLevelType w:val="hybridMultilevel"/>
    <w:lvl w:ilvl="0">
      <w:lvlJc w:val="left"/>
      <w:lvlText w:val="%1"/>
      <w:numFmt w:val="decimal"/>
      <w:start w:val="10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1"/>
    </w:lvl>
  </w:abstractNum>
  <w:abstractNum w:abstractNumId="42">
    <w:nsid w:val="6DE91B18"/>
    <w:multiLevelType w:val="hybridMultilevel"/>
    <w:lvl w:ilvl="0">
      <w:lvlJc w:val="left"/>
      <w:lvlText w:val="%1."/>
      <w:numFmt w:val="decimal"/>
      <w:start w:val="13"/>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11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41" Type="http://schemas.openxmlformats.org/officeDocument/2006/relationships/image" Target="media/image83.png"/><Relationship Id="rId147" Type="http://schemas.openxmlformats.org/officeDocument/2006/relationships/image" Target="media/image84.png"/><Relationship Id="rId166" Type="http://schemas.openxmlformats.org/officeDocument/2006/relationships/image" Target="media/image85.png"/><Relationship Id="rId167" Type="http://schemas.openxmlformats.org/officeDocument/2006/relationships/image" Target="media/image86.png"/><Relationship Id="rId179" Type="http://schemas.openxmlformats.org/officeDocument/2006/relationships/image" Target="media/image87.png"/><Relationship Id="rId194" Type="http://schemas.openxmlformats.org/officeDocument/2006/relationships/image" Target="media/image88.png"/><Relationship Id="rId206" Type="http://schemas.openxmlformats.org/officeDocument/2006/relationships/image" Target="media/image89.png"/><Relationship Id="rId219" Type="http://schemas.openxmlformats.org/officeDocument/2006/relationships/image" Target="media/image90.png"/><Relationship Id="rId239" Type="http://schemas.openxmlformats.org/officeDocument/2006/relationships/image" Target="media/image91.png"/><Relationship Id="rId261" Type="http://schemas.openxmlformats.org/officeDocument/2006/relationships/image" Target="media/image92.png"/><Relationship Id="rId274" Type="http://schemas.openxmlformats.org/officeDocument/2006/relationships/image" Target="media/image93.png"/><Relationship Id="rId275" Type="http://schemas.openxmlformats.org/officeDocument/2006/relationships/image" Target="media/image94.png"/><Relationship Id="rId277" Type="http://schemas.openxmlformats.org/officeDocument/2006/relationships/image" Target="media/image95.png"/><Relationship Id="rId278" Type="http://schemas.openxmlformats.org/officeDocument/2006/relationships/image" Target="media/image96.png"/><Relationship Id="rId279" Type="http://schemas.openxmlformats.org/officeDocument/2006/relationships/image" Target="media/image97.png"/><Relationship Id="rId280" Type="http://schemas.openxmlformats.org/officeDocument/2006/relationships/image" Target="media/image98.png"/><Relationship Id="rId281" Type="http://schemas.openxmlformats.org/officeDocument/2006/relationships/image" Target="media/image99.png"/><Relationship Id="rId282" Type="http://schemas.openxmlformats.org/officeDocument/2006/relationships/image" Target="media/image100.png"/><Relationship Id="rId283" Type="http://schemas.openxmlformats.org/officeDocument/2006/relationships/image" Target="media/image101.png"/><Relationship Id="rId284" Type="http://schemas.openxmlformats.org/officeDocument/2006/relationships/image" Target="media/image102.png"/><Relationship Id="rId285" Type="http://schemas.openxmlformats.org/officeDocument/2006/relationships/image" Target="media/image103.png"/><Relationship Id="rId286" Type="http://schemas.openxmlformats.org/officeDocument/2006/relationships/image" Target="media/image104.png"/><Relationship Id="rId287" Type="http://schemas.openxmlformats.org/officeDocument/2006/relationships/image" Target="media/image105.png"/><Relationship Id="rId288" Type="http://schemas.openxmlformats.org/officeDocument/2006/relationships/image" Target="media/image106.png"/><Relationship Id="rId289" Type="http://schemas.openxmlformats.org/officeDocument/2006/relationships/image" Target="media/image107.png"/><Relationship Id="rId290" Type="http://schemas.openxmlformats.org/officeDocument/2006/relationships/image" Target="media/image108.png"/><Relationship Id="rId291" Type="http://schemas.openxmlformats.org/officeDocument/2006/relationships/image" Target="media/image109.png"/><Relationship Id="rId292" Type="http://schemas.openxmlformats.org/officeDocument/2006/relationships/image" Target="media/image110.png"/><Relationship Id="rId293" Type="http://schemas.openxmlformats.org/officeDocument/2006/relationships/image" Target="media/image111.png"/><Relationship Id="rId294" Type="http://schemas.openxmlformats.org/officeDocument/2006/relationships/image" Target="media/image112.png"/><Relationship Id="rId295" Type="http://schemas.openxmlformats.org/officeDocument/2006/relationships/image" Target="media/image113.png"/><Relationship Id="rId296" Type="http://schemas.openxmlformats.org/officeDocument/2006/relationships/image" Target="media/image114.png"/><Relationship Id="rId297" Type="http://schemas.openxmlformats.org/officeDocument/2006/relationships/image" Target="media/image115.png"/><Relationship Id="rId298" Type="http://schemas.openxmlformats.org/officeDocument/2006/relationships/image" Target="media/image116.png"/><Relationship Id="rId299" Type="http://schemas.openxmlformats.org/officeDocument/2006/relationships/image" Target="media/image117.png"/><Relationship Id="rId300" Type="http://schemas.openxmlformats.org/officeDocument/2006/relationships/image" Target="media/image118.png"/><Relationship Id="rId301" Type="http://schemas.openxmlformats.org/officeDocument/2006/relationships/image" Target="media/image119.png"/><Relationship Id="rId302" Type="http://schemas.openxmlformats.org/officeDocument/2006/relationships/image" Target="media/image120.png"/><Relationship Id="rId303" Type="http://schemas.openxmlformats.org/officeDocument/2006/relationships/image" Target="media/image121.png"/><Relationship Id="rId304" Type="http://schemas.openxmlformats.org/officeDocument/2006/relationships/image" Target="media/image122.png"/><Relationship Id="rId305" Type="http://schemas.openxmlformats.org/officeDocument/2006/relationships/image" Target="media/image123.png"/><Relationship Id="rId306" Type="http://schemas.openxmlformats.org/officeDocument/2006/relationships/image" Target="media/image124.png"/><Relationship Id="rId307" Type="http://schemas.openxmlformats.org/officeDocument/2006/relationships/image" Target="media/image125.png"/><Relationship Id="rId308" Type="http://schemas.openxmlformats.org/officeDocument/2006/relationships/image" Target="media/image126.png"/><Relationship Id="rId309" Type="http://schemas.openxmlformats.org/officeDocument/2006/relationships/image" Target="media/image127.png"/><Relationship Id="rId310" Type="http://schemas.openxmlformats.org/officeDocument/2006/relationships/image" Target="media/image128.png"/><Relationship Id="rId311" Type="http://schemas.openxmlformats.org/officeDocument/2006/relationships/image" Target="media/image129.png"/><Relationship Id="rId312" Type="http://schemas.openxmlformats.org/officeDocument/2006/relationships/image" Target="media/image130.png"/><Relationship Id="rId313" Type="http://schemas.openxmlformats.org/officeDocument/2006/relationships/image" Target="media/image131.png"/><Relationship Id="rId314" Type="http://schemas.openxmlformats.org/officeDocument/2006/relationships/image" Target="media/image132.png"/><Relationship Id="rId315" Type="http://schemas.openxmlformats.org/officeDocument/2006/relationships/image" Target="media/image133.png"/><Relationship Id="rId316" Type="http://schemas.openxmlformats.org/officeDocument/2006/relationships/image" Target="media/image134.png"/><Relationship Id="rId317" Type="http://schemas.openxmlformats.org/officeDocument/2006/relationships/image" Target="media/image135.png"/><Relationship Id="rId318" Type="http://schemas.openxmlformats.org/officeDocument/2006/relationships/image" Target="media/image136.png"/><Relationship Id="rId319" Type="http://schemas.openxmlformats.org/officeDocument/2006/relationships/image" Target="media/image137.png"/><Relationship Id="rId320" Type="http://schemas.openxmlformats.org/officeDocument/2006/relationships/image" Target="media/image138.png"/><Relationship Id="rId83" Type="http://schemas.openxmlformats.org/officeDocument/2006/relationships/hyperlink" Target="https://www.sec.gov/Archives/edgar/data/1091667/000119312515206906/d930946dex21.htm" TargetMode="External"/><Relationship Id="rId84" Type="http://schemas.openxmlformats.org/officeDocument/2006/relationships/hyperlink" Target="https://www.sec.gov/Archives/edgar/data/1091667/000109166715000059/chtr0331158kexh21.htm" TargetMode="External"/><Relationship Id="rId85" Type="http://schemas.openxmlformats.org/officeDocument/2006/relationships/hyperlink" Target="https://www.sec.gov/Archives/edgar/data/1091667/000114036124046322/ny20038391x1_ex2-1.htm" TargetMode="External"/><Relationship Id="rId86" Type="http://schemas.openxmlformats.org/officeDocument/2006/relationships/hyperlink" Target="https://www.sec.gov/Archives/edgar/data/1091667/000114036125019688/ef20049261_ex2-1.htm" TargetMode="External"/><Relationship Id="rId87" Type="http://schemas.openxmlformats.org/officeDocument/2006/relationships/hyperlink" Target="https://www.sec.gov/Archives/edgar/data/833611/000119312516733576/d214722dex35.htm" TargetMode="External"/><Relationship Id="rId88" Type="http://schemas.openxmlformats.org/officeDocument/2006/relationships/hyperlink" Target="https://www.sec.gov/Archives/edgar/data/833611/000119312516733576/d214722dex36.htm" TargetMode="External"/><Relationship Id="rId89" Type="http://schemas.openxmlformats.org/officeDocument/2006/relationships/hyperlink" Target="https://www.sec.gov/Archives/edgar/data/1271833/000109166710000031/exhibit3_3.htm" TargetMode="External"/><Relationship Id="rId90" Type="http://schemas.openxmlformats.org/officeDocument/2006/relationships/hyperlink" Target="https://www.sec.gov/Archives/edgar/data/1271833/000095012304001350/c81718exv3w6.htm" TargetMode="External"/><Relationship Id="rId91" Type="http://schemas.openxmlformats.org/officeDocument/2006/relationships/hyperlink" Target="https://www.sec.gov/Archives/edgar/data/1350366/000119312515235720/d933267ds4.htm#toc933267_97" TargetMode="External"/><Relationship Id="rId92" Type="http://schemas.openxmlformats.org/officeDocument/2006/relationships/hyperlink" Target="https://www.sec.gov/Archives/edgar/data/1091667/000114036124046322/ny20038391x1_ex10-3.htm" TargetMode="External"/><Relationship Id="rId93" Type="http://schemas.openxmlformats.org/officeDocument/2006/relationships/hyperlink" Target="https://www.sec.gov/Archives/edgar/data/1091667/000110465924040627/tm249330d1_ex4-3.htm" TargetMode="External"/><Relationship Id="rId94" Type="http://schemas.openxmlformats.org/officeDocument/2006/relationships/hyperlink" Target="https://www.sec.gov/Archives/edgar/data/1091667/000109166714000221/exh41chtr1105148k.htm" TargetMode="External"/><Relationship Id="rId95" Type="http://schemas.openxmlformats.org/officeDocument/2006/relationships/hyperlink" Target="https://www.sec.gov/Archives/edgar/data/1091667/000109166715000177/exh41chtr723158k.htm" TargetMode="External"/><Relationship Id="rId96" Type="http://schemas.openxmlformats.org/officeDocument/2006/relationships/hyperlink" Target="https://www.sec.gov/Archives/edgar/data/1091667/000109166715000177/exh42chtr723158k.htm" TargetMode="External"/><Relationship Id="rId99" Type="http://schemas.openxmlformats.org/officeDocument/2006/relationships/hyperlink" Target="https://www.sec.gov/Archives/edgar/data/1091667/000119312515387342/d215006dex41.htm" TargetMode="External"/><Relationship Id="rId100" Type="http://schemas.openxmlformats.org/officeDocument/2006/relationships/hyperlink" Target="https://www.sec.gov/Archives/edgar/data/1091667/000119312516557101/d184565dex41.htm" TargetMode="External"/><Relationship Id="rId101" Type="http://schemas.openxmlformats.org/officeDocument/2006/relationships/hyperlink" Target="https://www.sec.gov/Archives/edgar/data/1091667/000119312516600775/d198771dex41.htm" TargetMode="External"/><Relationship Id="rId102" Type="http://schemas.openxmlformats.org/officeDocument/2006/relationships/hyperlink" Target="https://www.sec.gov/Archives/edgar/data/1091667/000119312516600775/d198771dex42.htm" TargetMode="External"/><Relationship Id="rId103" Type="http://schemas.openxmlformats.org/officeDocument/2006/relationships/hyperlink" Target="https://www.sec.gov/Archives/edgar/data/1091667/000119312516600775/d198771dex43.htm" TargetMode="External"/><Relationship Id="rId104" Type="http://schemas.openxmlformats.org/officeDocument/2006/relationships/hyperlink" Target="https://www.sec.gov/Archives/edgar/data/1291157/000119312517305942/d412173dex45.htm" TargetMode="External"/><Relationship Id="rId105" Type="http://schemas.openxmlformats.org/officeDocument/2006/relationships/hyperlink" Target="https://www.sec.gov/Archives/edgar/data/1091667/000119312517031457/d316804dex41.htm" TargetMode="External"/><Relationship Id="rId106" Type="http://schemas.openxmlformats.org/officeDocument/2006/relationships/hyperlink" Target="https://www.sec.gov/Archives/edgar/data/1091667/000119312517137055/d383847dex43.htm" TargetMode="External"/><Relationship Id="rId107" Type="http://schemas.openxmlformats.org/officeDocument/2006/relationships/hyperlink" Target="https://www.sec.gov/Archives/edgar/data/1091667/000119312517226207/d421424dex43.htm" TargetMode="External"/><Relationship Id="rId108" Type="http://schemas.openxmlformats.org/officeDocument/2006/relationships/hyperlink" Target="https://www.sec.gov/Archives/edgar/data/1091667/000119312517256236/d374452dex41.htm" TargetMode="External"/><Relationship Id="rId109" Type="http://schemas.openxmlformats.org/officeDocument/2006/relationships/hyperlink" Target="https://www.sec.gov/Archives/edgar/data/1091667/000119312517289679/d458554dex43.htm" TargetMode="External"/><Relationship Id="rId111" Type="http://schemas.openxmlformats.org/officeDocument/2006/relationships/hyperlink" Target="https://www.sec.gov/Archives/edgar/data/833611/000119312517376789/d502212dex45.htm" TargetMode="External"/><Relationship Id="rId112" Type="http://schemas.openxmlformats.org/officeDocument/2006/relationships/hyperlink" Target="https://www.sec.gov/Archives/edgar/data/1091667/000119312518125093/d562235dex42.htm" TargetMode="External"/><Relationship Id="rId113" Type="http://schemas.openxmlformats.org/officeDocument/2006/relationships/hyperlink" Target="https://www.sec.gov/Archives/edgar/data/893657/000110465923112581/tm2329169d2_ex4-7.htm" TargetMode="External"/><Relationship Id="rId114" Type="http://schemas.openxmlformats.org/officeDocument/2006/relationships/hyperlink" Target="https://www.sec.gov/Archives/edgar/data/1091667/000119312519015581/d693743dex44.htm" TargetMode="External"/><Relationship Id="rId115" Type="http://schemas.openxmlformats.org/officeDocument/2006/relationships/hyperlink" Target="https://www.sec.gov/Archives/edgar/data/1091667/000119312519161294/d753026dex41.htm" TargetMode="External"/><Relationship Id="rId116" Type="http://schemas.openxmlformats.org/officeDocument/2006/relationships/hyperlink" Target="https://www.sec.gov/Archives/edgar/data/1091667/000119312519161294/d753026dex42.htm" TargetMode="External"/><Relationship Id="rId117" Type="http://schemas.openxmlformats.org/officeDocument/2006/relationships/hyperlink" Target="https://www.sec.gov/Archives/edgar/data/893657/000110465923112581/tm2329169d2_ex4-8.htm" TargetMode="External"/><Relationship Id="rId118" Type="http://schemas.openxmlformats.org/officeDocument/2006/relationships/hyperlink" Target="https://www.sec.gov/Archives/edgar/data/1091667/000119312519191919/d96706dex45.htm" TargetMode="External"/><Relationship Id="rId119" Type="http://schemas.openxmlformats.org/officeDocument/2006/relationships/hyperlink" Target="https://www.sec.gov/Archives/edgar/data/1091667/000141057819001548/tv530689_ex4-2.htm" TargetMode="External"/><Relationship Id="rId120" Type="http://schemas.openxmlformats.org/officeDocument/2006/relationships/hyperlink" Target="https://www.sec.gov/Archives/edgar/data/1091667/000110465919057853/tm1919719d8_ex4-5.htm" TargetMode="External"/><Relationship Id="rId123" Type="http://schemas.openxmlformats.org/officeDocument/2006/relationships/hyperlink" Target="https://www.sec.gov/Archives/edgar/data/1091667/000110465920023531/tm206421d3_ex4-2.htm" TargetMode="External"/><Relationship Id="rId124" Type="http://schemas.openxmlformats.org/officeDocument/2006/relationships/hyperlink" Target="https://www.sec.gov/Archives/edgar/data/1091667/000110465920037363/tm209733d3_ex4-4.htm" TargetMode="External"/><Relationship Id="rId125" Type="http://schemas.openxmlformats.org/officeDocument/2006/relationships/hyperlink" Target="https://www.sec.gov/Archives/edgar/data/1091667/000110465920048185/tm2013374d6_ex4-2.htm" TargetMode="External"/><Relationship Id="rId126" Type="http://schemas.openxmlformats.org/officeDocument/2006/relationships/hyperlink" Target="https://www.sec.gov/Archives/edgar/data/1091667/000110465920083132/tm2023618d7_ex4-2.htm" TargetMode="External"/><Relationship Id="rId127" Type="http://schemas.openxmlformats.org/officeDocument/2006/relationships/hyperlink" Target="https://www.sec.gov/Archives/edgar/data/893657/000110465923112581/tm2329169d2_ex4-9.htm" TargetMode="External"/><Relationship Id="rId128" Type="http://schemas.openxmlformats.org/officeDocument/2006/relationships/hyperlink" Target="https://www.sec.gov/Archives/edgar/data/1091667/000119312520310598/d52558dex43.htm" TargetMode="External"/><Relationship Id="rId129" Type="http://schemas.openxmlformats.org/officeDocument/2006/relationships/hyperlink" Target="https://www.sec.gov/Archives/edgar/data/1091667/000110465921032135/tm216933d5_ex4-3.htm" TargetMode="External"/><Relationship Id="rId130" Type="http://schemas.openxmlformats.org/officeDocument/2006/relationships/hyperlink" Target="https://www.sec.gov/Archives/edgar/data/1091667/000110465921055678/tm2110078d10_ex4-2.htm" TargetMode="External"/><Relationship Id="rId133" Type="http://schemas.openxmlformats.org/officeDocument/2006/relationships/hyperlink" Target="https://www.sec.gov/Archives/edgar/data/1091667/000110465921075783/tm2116167d8_ex4-6.htm" TargetMode="External"/><Relationship Id="rId134" Type="http://schemas.openxmlformats.org/officeDocument/2006/relationships/hyperlink" Target="https://www.sec.gov/Archives/edgar/data/1091667/000110465921107340/tm2125367d1_ex4-2.htm" TargetMode="External"/><Relationship Id="rId135" Type="http://schemas.openxmlformats.org/officeDocument/2006/relationships/hyperlink" Target="https://www.sec.gov/Archives/edgar/data/1091667/000110465921125311/tm2129729d1_ex4-2.htm" TargetMode="External"/><Relationship Id="rId136" Type="http://schemas.openxmlformats.org/officeDocument/2006/relationships/hyperlink" Target="https://www.sec.gov/Archives/edgar/data/1091667/000110465922007405/tm222869d3_ex4-2.htm" TargetMode="External"/><Relationship Id="rId137" Type="http://schemas.openxmlformats.org/officeDocument/2006/relationships/hyperlink" Target="https://www.sec.gov/Archives/edgar/data/1091667/000110465922033983/tm229257d1_ex4-2.htm" TargetMode="External"/><Relationship Id="rId138" Type="http://schemas.openxmlformats.org/officeDocument/2006/relationships/hyperlink" Target="https://www.sec.gov/Archives/edgar/data/1091667/000110465922091296/tm2222384d3_ex4-2.htm" TargetMode="External"/><Relationship Id="rId139" Type="http://schemas.openxmlformats.org/officeDocument/2006/relationships/hyperlink" Target="https://www.sec.gov/Archives/edgar/data/1091667/000110465923022811/tm236553d1_ex4-2.htm" TargetMode="External"/><Relationship Id="rId140" Type="http://schemas.openxmlformats.org/officeDocument/2006/relationships/hyperlink" Target="https://www.sec.gov/Archives/edgar/data/1091667/000109166724000028/chtr12312023exh-482.htm" TargetMode="External"/><Relationship Id="rId142" Type="http://schemas.openxmlformats.org/officeDocument/2006/relationships/hyperlink" Target="https://www.sec.gov/Archives/edgar/data/1091667/000110465923116521/tm2330404d1_ex4-2.htm" TargetMode="External"/><Relationship Id="rId143" Type="http://schemas.openxmlformats.org/officeDocument/2006/relationships/hyperlink" Target="https://www.sec.gov/Archives/edgar/data/1091667/000110465924061218/tm2414297d1_ex4-2.htm" TargetMode="External"/><Relationship Id="rId144" Type="http://schemas.openxmlformats.org/officeDocument/2006/relationships/hyperlink" Target="https://www.sec.gov/Archives/edgar/data/1091667/000110465925086395/tm2524701d1_ex4-2.htm" TargetMode="External"/><Relationship Id="rId145" Type="http://schemas.openxmlformats.org/officeDocument/2006/relationships/hyperlink" Target="https://www.sec.gov/Archives/edgar/data/1021387/0000950117-98-000617.txt" TargetMode="External"/><Relationship Id="rId146" Type="http://schemas.openxmlformats.org/officeDocument/2006/relationships/hyperlink" Target="https://www.sec.gov/Archives/edgar/data/1105705/000095014404002438/g87394exv4w10.txt" TargetMode="External"/><Relationship Id="rId148" Type="http://schemas.openxmlformats.org/officeDocument/2006/relationships/hyperlink" Target="https://www.sec.gov/Archives/edgar/data/1105705/000095014404010346/g91243exv4w1.txt" TargetMode="External"/><Relationship Id="rId149" Type="http://schemas.openxmlformats.org/officeDocument/2006/relationships/hyperlink" Target="https://www.sec.gov/Archives/edgar/data/1105705/000110570506000066/f06-10_188kex1.txt" TargetMode="External"/><Relationship Id="rId150" Type="http://schemas.openxmlformats.org/officeDocument/2006/relationships/hyperlink" Target="https://www.sec.gov/Archives/edgar/data/1105705/000110570506000075/ex991suppindenture.txt" TargetMode="External"/><Relationship Id="rId151" Type="http://schemas.openxmlformats.org/officeDocument/2006/relationships/hyperlink" Target="https://www.sec.gov/Archives/edgar/data/1377013/000119312512411525/d418440dex42.htm" TargetMode="External"/><Relationship Id="rId152" Type="http://schemas.openxmlformats.org/officeDocument/2006/relationships/hyperlink" Target="https://www.sec.gov/Archives/edgar/data/1091667/000119312516600775/d198771dex44.htm" TargetMode="External"/><Relationship Id="rId153" Type="http://schemas.openxmlformats.org/officeDocument/2006/relationships/hyperlink" Target="https://www.sec.gov/Archives/edgar/data/1377013/000095014407003230/g06543exv4w1.htm" TargetMode="External"/><Relationship Id="rId154" Type="http://schemas.openxmlformats.org/officeDocument/2006/relationships/hyperlink" Target="https://www.sec.gov/Archives/edgar/data/1377013/000095014407003230/g06543exv4w2.htm" TargetMode="External"/><Relationship Id="rId155" Type="http://schemas.openxmlformats.org/officeDocument/2006/relationships/hyperlink" Target="https://www.sec.gov/Archives/edgar/data/1377013/000119312512411525/d418440dex41.htm" TargetMode="External"/><Relationship Id="rId156" Type="http://schemas.openxmlformats.org/officeDocument/2006/relationships/hyperlink" Target="https://www.sec.gov/Archives/edgar/data/1091667/000119312516600775/d198771dex45.htm" TargetMode="External"/><Relationship Id="rId157" Type="http://schemas.openxmlformats.org/officeDocument/2006/relationships/hyperlink" Target="https://www.sec.gov/Archives/edgar/data/1091667/000119312516600775/d198771dex46.htm" TargetMode="External"/><Relationship Id="rId158" Type="http://schemas.openxmlformats.org/officeDocument/2006/relationships/hyperlink" Target="https://www.sec.gov/Archives/edgar/data/1377013/000095014408004932/g13938exv4w3.htm" TargetMode="External"/><Relationship Id="rId159" Type="http://schemas.openxmlformats.org/officeDocument/2006/relationships/hyperlink" Target="https://www.sec.gov/Archives/edgar/data/1377013/000095012309018653/g19621exv4w1.htm" TargetMode="External"/><Relationship Id="rId160" Type="http://schemas.openxmlformats.org/officeDocument/2006/relationships/hyperlink" Target="https://www.sec.gov/Archives/edgar/data/1377013/000095012310105640/g25238exv4w2.htm" TargetMode="External"/><Relationship Id="rId161" Type="http://schemas.openxmlformats.org/officeDocument/2006/relationships/hyperlink" Target="https://www.sec.gov/Archives/edgar/data/1377013/000095012311054476/g27367exv4w1.htm" TargetMode="External"/><Relationship Id="rId162" Type="http://schemas.openxmlformats.org/officeDocument/2006/relationships/hyperlink" Target="https://www.sec.gov/Archives/edgar/data/1377013/000119312511245786/d228868dex42.htm" TargetMode="External"/><Relationship Id="rId163" Type="http://schemas.openxmlformats.org/officeDocument/2006/relationships/hyperlink" Target="https://www.sec.gov/Archives/edgar/data/1377013/000119312512349959/d393980dex41.htm" TargetMode="External"/><Relationship Id="rId164" Type="http://schemas.openxmlformats.org/officeDocument/2006/relationships/hyperlink" Target="https://www.sec.gov/Archives/edgar/data/1377013/000119312512285562/d372984dex41.htm" TargetMode="External"/><Relationship Id="rId165" Type="http://schemas.openxmlformats.org/officeDocument/2006/relationships/hyperlink" Target="https://www.sec.gov/Archives/edgar/data/1091667/000109166723000024/chtr12312022exh-4104.htm" TargetMode="External"/><Relationship Id="rId168" Type="http://schemas.openxmlformats.org/officeDocument/2006/relationships/hyperlink" Target="https://www.sec.gov/Archives/edgar/data/1091667/000109166715000177/exh101chtr723158k.htm" TargetMode="External"/><Relationship Id="rId169" Type="http://schemas.openxmlformats.org/officeDocument/2006/relationships/hyperlink" Target="https://www.sec.gov/Archives/edgar/data/1091667/000119312516557101/d184565dex101.htm" TargetMode="External"/><Relationship Id="rId170" Type="http://schemas.openxmlformats.org/officeDocument/2006/relationships/hyperlink" Target="https://www.sec.gov/Archives/edgar/data/1091667/000119312517031457/d316804dex101.htm" TargetMode="External"/><Relationship Id="rId171" Type="http://schemas.openxmlformats.org/officeDocument/2006/relationships/hyperlink" Target="https://www.sec.gov/Archives/edgar/data/1091667/000119312517104560/d343818dex101.htm" TargetMode="External"/><Relationship Id="rId172" Type="http://schemas.openxmlformats.org/officeDocument/2006/relationships/hyperlink" Target="https://www.sec.gov/Archives/edgar/data/1091667/000119312517137055/d383847dex101.htm" TargetMode="External"/><Relationship Id="rId173" Type="http://schemas.openxmlformats.org/officeDocument/2006/relationships/hyperlink" Target="https://www.sec.gov/Archives/edgar/data/1091667/000119312517137055/d383847dex102.htm" TargetMode="External"/><Relationship Id="rId174" Type="http://schemas.openxmlformats.org/officeDocument/2006/relationships/hyperlink" Target="https://www.sec.gov/Archives/edgar/data/1091667/000119312517226207/d421424dex101.htm" TargetMode="External"/><Relationship Id="rId175" Type="http://schemas.openxmlformats.org/officeDocument/2006/relationships/hyperlink" Target="https://www.sec.gov/Archives/edgar/data/1091667/000119312517226207/d421424dex102.htm" TargetMode="External"/><Relationship Id="rId176" Type="http://schemas.openxmlformats.org/officeDocument/2006/relationships/hyperlink" Target="https://www.sec.gov/Archives/edgar/data/1091667/000119312517256236/d374452dex101.htm" TargetMode="External"/><Relationship Id="rId177" Type="http://schemas.openxmlformats.org/officeDocument/2006/relationships/hyperlink" Target="https://www.sec.gov/Archives/edgar/data/1091667/000119312517289679/d458554dex101.htm" TargetMode="External"/><Relationship Id="rId178" Type="http://schemas.openxmlformats.org/officeDocument/2006/relationships/hyperlink" Target="https://www.sec.gov/Archives/edgar/data/1091667/000119312517289679/d458554dex102.htm" TargetMode="External"/><Relationship Id="rId180" Type="http://schemas.openxmlformats.org/officeDocument/2006/relationships/hyperlink" Target="https://www.sec.gov/Archives/edgar/data/1091667/000119312517315425/d473513dex101.htm" TargetMode="External"/><Relationship Id="rId181" Type="http://schemas.openxmlformats.org/officeDocument/2006/relationships/hyperlink" Target="https://www.sec.gov/Archives/edgar/data/1091667/000119312519161294/d753026dex101.htm" TargetMode="External"/><Relationship Id="rId182" Type="http://schemas.openxmlformats.org/officeDocument/2006/relationships/hyperlink" Target="https://www.sec.gov/Archives/edgar/data/1091667/000119312519191919/d96706dex101.htm" TargetMode="External"/><Relationship Id="rId183" Type="http://schemas.openxmlformats.org/officeDocument/2006/relationships/hyperlink" Target="https://www.sec.gov/Archives/edgar/data/1091667/000141057819001548/tv530689_ex10-1.htm" TargetMode="External"/><Relationship Id="rId184" Type="http://schemas.openxmlformats.org/officeDocument/2006/relationships/hyperlink" Target="https://www.sec.gov/Archives/edgar/data/1091667/000110465919057853/tm1919719d8_ex10-1.htm" TargetMode="External"/><Relationship Id="rId185" Type="http://schemas.openxmlformats.org/officeDocument/2006/relationships/hyperlink" Target="https://www.sec.gov/Archives/edgar/data/1091667/000110465919073049/tm1923962d8_ex10-1.htm" TargetMode="External"/><Relationship Id="rId186" Type="http://schemas.openxmlformats.org/officeDocument/2006/relationships/hyperlink" Target="https://www.sec.gov/Archives/edgar/data/1091667/000110465920023531/tm206421d3_ex10-1.htm" TargetMode="External"/><Relationship Id="rId187" Type="http://schemas.openxmlformats.org/officeDocument/2006/relationships/hyperlink" Target="https://www.sec.gov/Archives/edgar/data/1091667/000110465920037363/tm209733d3_ex10-1.htm" TargetMode="External"/><Relationship Id="rId188" Type="http://schemas.openxmlformats.org/officeDocument/2006/relationships/hyperlink" Target="https://www.sec.gov/Archives/edgar/data/1091667/000110465920037363/tm209733d3_ex10-2.htm" TargetMode="External"/><Relationship Id="rId189" Type="http://schemas.openxmlformats.org/officeDocument/2006/relationships/hyperlink" Target="https://www.sec.gov/Archives/edgar/data/1091667/000110465920083132/tm2023618d7_ex10-1.htm" TargetMode="External"/><Relationship Id="rId190" Type="http://schemas.openxmlformats.org/officeDocument/2006/relationships/hyperlink" Target="https://www.sec.gov/Archives/edgar/data/1091667/000110465920087372/tm2025145d2_ex10-1.htm" TargetMode="External"/><Relationship Id="rId191" Type="http://schemas.openxmlformats.org/officeDocument/2006/relationships/hyperlink" Target="https://www.sec.gov/Archives/edgar/data/1091667/000110465920115651/tm2030372d3_ex10-1.htm" TargetMode="External"/><Relationship Id="rId192" Type="http://schemas.openxmlformats.org/officeDocument/2006/relationships/hyperlink" Target="https://www.sec.gov/Archives/edgar/data/1091667/000110465921055678/tm2110078d10_ex10-1.htm" TargetMode="External"/><Relationship Id="rId193" Type="http://schemas.openxmlformats.org/officeDocument/2006/relationships/hyperlink" Target="https://www.sec.gov/Archives/edgar/data/1091667/000110465921075783/tm2116167d8_ex10-1.htm" TargetMode="External"/><Relationship Id="rId195" Type="http://schemas.openxmlformats.org/officeDocument/2006/relationships/hyperlink" Target="https://www.sec.gov/Archives/edgar/data/1091667/000110465921107340/tm2125367d1_ex10-1.htm" TargetMode="External"/><Relationship Id="rId196" Type="http://schemas.openxmlformats.org/officeDocument/2006/relationships/hyperlink" Target="https://www.sec.gov/Archives/edgar/data/1091667/000110465922007405/tm222869d3_ex10-1.htm" TargetMode="External"/><Relationship Id="rId197" Type="http://schemas.openxmlformats.org/officeDocument/2006/relationships/hyperlink" Target="https://www.sec.gov/Archives/edgar/data/1091667/000110465922091296/tm2222384d3_ex10-1.htm" TargetMode="External"/><Relationship Id="rId198" Type="http://schemas.openxmlformats.org/officeDocument/2006/relationships/hyperlink" Target="https://www.sec.gov/Archives/edgar/data/1091667/000110465923022811/tm236553d1_ex10-1.htm" TargetMode="External"/><Relationship Id="rId199" Type="http://schemas.openxmlformats.org/officeDocument/2006/relationships/hyperlink" Target="https://www.sec.gov/Archives/edgar/data/1091667/000119312516600775/d198771dex105.htm" TargetMode="External"/><Relationship Id="rId200" Type="http://schemas.openxmlformats.org/officeDocument/2006/relationships/hyperlink" Target="https://www.sec.gov/Archives/edgar/data/1091667/000119312516808236/d320993dex101.htm" TargetMode="External"/><Relationship Id="rId201" Type="http://schemas.openxmlformats.org/officeDocument/2006/relationships/hyperlink" Target="https://www.sec.gov/Archives/edgar/data/1091667/000119312517381529/d490255dex101.htm" TargetMode="External"/><Relationship Id="rId202" Type="http://schemas.openxmlformats.org/officeDocument/2006/relationships/hyperlink" Target="https://www.sec.gov/Archives/edgar/data/1091667/000119312519022615/d679482dex101.htm" TargetMode="External"/><Relationship Id="rId203" Type="http://schemas.openxmlformats.org/officeDocument/2006/relationships/hyperlink" Target="https://www.sec.gov/Archives/edgar/data/1091667/000109166719000085/chtr3312019exh-104.htm" TargetMode="External"/><Relationship Id="rId204" Type="http://schemas.openxmlformats.org/officeDocument/2006/relationships/hyperlink" Target="https://www.sec.gov/Archives/edgar/data/1091667/000110465919057853/tm1919719d8_ex10-2.htm" TargetMode="External"/><Relationship Id="rId205" Type="http://schemas.openxmlformats.org/officeDocument/2006/relationships/hyperlink" Target="https://www.sec.gov/Archives/edgar/data/1091667/000110465922067640/tm2217554d1_ex10-1.htm" TargetMode="External"/><Relationship Id="rId207" Type="http://schemas.openxmlformats.org/officeDocument/2006/relationships/hyperlink" Target="https://www.sec.gov/Archives/edgar/data/1091667/000110465923022811/tm236553d1_ex10-2.htm" TargetMode="External"/><Relationship Id="rId208" Type="http://schemas.openxmlformats.org/officeDocument/2006/relationships/hyperlink" Target="https://www.sec.gov/Archives/edgar/data/1091667/000110465923038343/tm2310675d1_ex10-1.htm" TargetMode="External"/><Relationship Id="rId209" Type="http://schemas.openxmlformats.org/officeDocument/2006/relationships/hyperlink" Target="https://www.sec.gov/Archives/edgar/data/1091667/000110465923125714/tm2332479d1_ex10-1.htm" TargetMode="External"/><Relationship Id="rId210" Type="http://schemas.openxmlformats.org/officeDocument/2006/relationships/hyperlink" Target="https://www.sec.gov/Archives/edgar/data/1091667/000110465924126817/tm2430518d1_ex10-1.htm" TargetMode="External"/><Relationship Id="rId211" Type="http://schemas.openxmlformats.org/officeDocument/2006/relationships/hyperlink" Target="https://www.sec.gov/Archives/edgar/data/1091667/000119312516600775/d198771dex101.htm" TargetMode="External"/><Relationship Id="rId212" Type="http://schemas.openxmlformats.org/officeDocument/2006/relationships/hyperlink" Target="https://www.sec.gov/Archives/edgar/data/1091667/000119312516600775/d198771dex102.htm" TargetMode="External"/><Relationship Id="rId213" Type="http://schemas.openxmlformats.org/officeDocument/2006/relationships/hyperlink" Target="https://www.sec.gov/Archives/edgar/data/1091667/000119312516600775/d198771dex103.htm" TargetMode="External"/><Relationship Id="rId214" Type="http://schemas.openxmlformats.org/officeDocument/2006/relationships/hyperlink" Target="https://www.sec.gov/Archives/edgar/data/1091667/000119312516600775/d198771dex104.htm" TargetMode="External"/><Relationship Id="rId215" Type="http://schemas.openxmlformats.org/officeDocument/2006/relationships/hyperlink" Target="https://www.sec.gov/Archives/edgar/data/1091667/000119312516600775/d198771dex106.htm" TargetMode="External"/><Relationship Id="rId216" Type="http://schemas.openxmlformats.org/officeDocument/2006/relationships/hyperlink" Target="https://www.sec.gov/Archives/edgar/data/1091667/000119312516600775/d198771dex107.htm" TargetMode="External"/><Relationship Id="rId217" Type="http://schemas.openxmlformats.org/officeDocument/2006/relationships/hyperlink" Target="https://www.sec.gov/Archives/edgar/data/1091667/000119312516596195/d148819dex101.htm" TargetMode="External"/><Relationship Id="rId218" Type="http://schemas.openxmlformats.org/officeDocument/2006/relationships/hyperlink" Target="https://www.sec.gov/Archives/edgar/data/1091667/000119312516596195/d148819dex102.htm" TargetMode="External"/><Relationship Id="rId220" Type="http://schemas.openxmlformats.org/officeDocument/2006/relationships/hyperlink" Target="https://www.sec.gov/Archives/edgar/data/1091667/000119312516596195/d148819dex103.htm" TargetMode="External"/><Relationship Id="rId221" Type="http://schemas.openxmlformats.org/officeDocument/2006/relationships/hyperlink" Target="https://www.sec.gov/Archives/edgar/data/1091667/000119312516596195/d148819dex104.htm" TargetMode="External"/><Relationship Id="rId222" Type="http://schemas.openxmlformats.org/officeDocument/2006/relationships/hyperlink" Target="https://www.sec.gov/Archives/edgar/data/1091667/000109166717000074/exh101050817chtr8-kx01.htm" TargetMode="External"/><Relationship Id="rId223" Type="http://schemas.openxmlformats.org/officeDocument/2006/relationships/hyperlink" Target="https://www.sec.gov/Archives/edgar/data/1091667/000109166712000085/chtr3312012ex-101.htm" TargetMode="External"/><Relationship Id="rId224" Type="http://schemas.openxmlformats.org/officeDocument/2006/relationships/hyperlink" Target="https://www.sec.gov/Archives/edgar/data/1091667/000109166713000140/chtr6302013exh-103.htm" TargetMode="External"/><Relationship Id="rId225" Type="http://schemas.openxmlformats.org/officeDocument/2006/relationships/hyperlink" Target="https://www.sec.gov/Archives/edgar/data/1091667/000119312516507905/d159880ddef14a.htm" TargetMode="External"/><Relationship Id="rId226" Type="http://schemas.openxmlformats.org/officeDocument/2006/relationships/hyperlink" Target="https://www.sec.gov/Archives/edgar/data/1091667/000119312516596195/d148819dex106.htm" TargetMode="External"/><Relationship Id="rId227" Type="http://schemas.openxmlformats.org/officeDocument/2006/relationships/hyperlink" Target="https://www.sec.gov/Archives/edgar/data/1091667/000109166716000565/a102816chtr8-kexh101.htm" TargetMode="External"/><Relationship Id="rId228" Type="http://schemas.openxmlformats.org/officeDocument/2006/relationships/hyperlink" Target="https://www.sec.gov/Archives/edgar/data/1091667/000109166711000116/exhibit10_1.htm" TargetMode="External"/><Relationship Id="rId229" Type="http://schemas.openxmlformats.org/officeDocument/2006/relationships/hyperlink" Target="https://www.sec.gov/Archives/edgar/data/1091667/000109166711000103/exhibit10_3.htm" TargetMode="External"/><Relationship Id="rId230" Type="http://schemas.openxmlformats.org/officeDocument/2006/relationships/hyperlink" Target="https://www.sec.gov/Archives/edgar/data/1091667/000109166711000103/exhibit10_2.htm" TargetMode="External"/><Relationship Id="rId231" Type="http://schemas.openxmlformats.org/officeDocument/2006/relationships/hyperlink" Target="https://www.sec.gov/Archives/edgar/data/1091667/000109166714000060/exhibit103formofnoticeoflt.htm" TargetMode="External"/><Relationship Id="rId232" Type="http://schemas.openxmlformats.org/officeDocument/2006/relationships/hyperlink" Target="https://www.sec.gov/Archives/edgar/data/1091667/000109166714000060/exhibit104formofnoticeoflt.htm" TargetMode="External"/><Relationship Id="rId233" Type="http://schemas.openxmlformats.org/officeDocument/2006/relationships/hyperlink" Target="https://www.sec.gov/Archives/edgar/data/1091667/000109166714000060/exhibit105formofnoticeoflt.htm" TargetMode="External"/><Relationship Id="rId234" Type="http://schemas.openxmlformats.org/officeDocument/2006/relationships/hyperlink" Target="https://www.sec.gov/Archives/edgar/data/1091667/000109166714000060/exhibit106formofnoticeoflt.htm" TargetMode="External"/><Relationship Id="rId235" Type="http://schemas.openxmlformats.org/officeDocument/2006/relationships/hyperlink" Target="https://www.sec.gov/Archives/edgar/data/1091667/000109166714000060/exhibit101formofstockoptio.htm" TargetMode="External"/><Relationship Id="rId236" Type="http://schemas.openxmlformats.org/officeDocument/2006/relationships/hyperlink" Target="https://www.sec.gov/Archives/edgar/data/1091667/000109166714000060/exhibit102formofrestricted.htm" TargetMode="External"/><Relationship Id="rId237" Type="http://schemas.openxmlformats.org/officeDocument/2006/relationships/hyperlink" Target="https://www.sec.gov/Archives/edgar/data/1091667/000109166716000565/a102816chtr8-kexh102.htm" TargetMode="External"/><Relationship Id="rId238" Type="http://schemas.openxmlformats.org/officeDocument/2006/relationships/hyperlink" Target="https://www.sec.gov/Archives/edgar/data/1091667/000109166717000030/chtr12312016exh-10102.htm" TargetMode="External"/><Relationship Id="rId240" Type="http://schemas.openxmlformats.org/officeDocument/2006/relationships/hyperlink" Target="https://www.sec.gov/Archives/edgar/data/1091667/000109166717000030/chtr12312016exh-10103.htm" TargetMode="External"/><Relationship Id="rId241" Type="http://schemas.openxmlformats.org/officeDocument/2006/relationships/hyperlink" Target="https://www.sec.gov/Archives/edgar/data/1091667/000119312519074765/d717086ddef14a.htm" TargetMode="External"/><Relationship Id="rId242" Type="http://schemas.openxmlformats.org/officeDocument/2006/relationships/hyperlink" Target="https://www.sec.gov/Archives/edgar/data/1091667/000109166720000024/chtr12312019exh-10152.htm" TargetMode="External"/><Relationship Id="rId243" Type="http://schemas.openxmlformats.org/officeDocument/2006/relationships/hyperlink" Target="https://www.sec.gov/ix?doc=/Archives/edgar/data/1091667/000119312524067965/d534477ddef14a.htm" TargetMode="External"/><Relationship Id="rId244" Type="http://schemas.openxmlformats.org/officeDocument/2006/relationships/hyperlink" Target="https://www.sec.gov/Archives/edgar/data/1091667/000109166719000097/chtr6302019exh-102.htm" TargetMode="External"/><Relationship Id="rId245" Type="http://schemas.openxmlformats.org/officeDocument/2006/relationships/hyperlink" Target="https://www.sec.gov/Archives/edgar/data/1091667/000109166719000097/chtr6302019exh-103.htm" TargetMode="External"/><Relationship Id="rId246" Type="http://schemas.openxmlformats.org/officeDocument/2006/relationships/hyperlink" Target="https://www.sec.gov/Archives/edgar/data/1091667/000109166719000097/chtr6302019exh-104.htm" TargetMode="External"/><Relationship Id="rId247" Type="http://schemas.openxmlformats.org/officeDocument/2006/relationships/hyperlink" Target="https://www.sec.gov/Archives/edgar/data/1091667/000109166723000034/a022223chtr8-kexh101.htm" TargetMode="External"/><Relationship Id="rId248" Type="http://schemas.openxmlformats.org/officeDocument/2006/relationships/hyperlink" Target="https://www.sec.gov/Archives/edgar/data/1091667/000109166723000034/a022223chtr8-kexh102.htm" TargetMode="External"/><Relationship Id="rId249" Type="http://schemas.openxmlformats.org/officeDocument/2006/relationships/hyperlink" Target="https://www.sec.gov/Archives/edgar/data/1091667/000109166725000100/chtr422258kexh101.htm" TargetMode="External"/><Relationship Id="rId250" Type="http://schemas.openxmlformats.org/officeDocument/2006/relationships/hyperlink" Target="https://www.sec.gov/Archives/edgar/data/1377013/000095014407001123/g04695exv10w45.htm" TargetMode="External"/><Relationship Id="rId251" Type="http://schemas.openxmlformats.org/officeDocument/2006/relationships/hyperlink" Target="https://www.sec.gov/Archives/edgar/data/1377013/000095014409003639/g18658exv10w1.htm" TargetMode="External"/><Relationship Id="rId252" Type="http://schemas.openxmlformats.org/officeDocument/2006/relationships/hyperlink" Target="https://www.sec.gov/Archives/edgar/data/1377013/000095012311033404/g26709def14a.htm" TargetMode="External"/><Relationship Id="rId253" Type="http://schemas.openxmlformats.org/officeDocument/2006/relationships/hyperlink" Target="https://www.sec.gov/Archives/edgar/data/1091667/000109166725000171/chtr1203258kexh101.htm" TargetMode="External"/><Relationship Id="rId254" Type="http://schemas.openxmlformats.org/officeDocument/2006/relationships/hyperlink" Target="https://www.sec.gov/Archives/edgar/data/1091667/000109166725000158/chtr0801258kexh101.htm" TargetMode="External"/><Relationship Id="rId255" Type="http://schemas.openxmlformats.org/officeDocument/2006/relationships/hyperlink" Target="https://www.sec.gov/Archives/edgar/data/1091667/000109166725000034/chtr12312024exh-1072b.htm" TargetMode="External"/><Relationship Id="rId256" Type="http://schemas.openxmlformats.org/officeDocument/2006/relationships/hyperlink" Target="https://www.sec.gov/Archives/edgar/data/1091667/000109166725000034/chtr12312024exh-1073.htm" TargetMode="External"/><Relationship Id="rId257" Type="http://schemas.openxmlformats.org/officeDocument/2006/relationships/hyperlink" Target="https://www.sec.gov/Archives/edgar/data/1091667/000109166726000006/chtr0116268kexh101.htm" TargetMode="External"/><Relationship Id="rId258" Type="http://schemas.openxmlformats.org/officeDocument/2006/relationships/hyperlink" Target="https://www.sec.gov/Archives/edgar/data/1091667/000109166724000104/chtr6302024exh-104.htm" TargetMode="External"/><Relationship Id="rId259" Type="http://schemas.openxmlformats.org/officeDocument/2006/relationships/hyperlink" Target="https://www.sec.gov/Archives/edgar/data/1091667/000119312516805546/d270544dex991.htm" TargetMode="External"/><Relationship Id="rId260" Type="http://schemas.openxmlformats.org/officeDocument/2006/relationships/hyperlink" Target="https://www.sec.gov/Archives/edgar/data/1091667/000119312517377666/d501894dex991.htm" TargetMode="External"/><Relationship Id="rId262" Type="http://schemas.openxmlformats.org/officeDocument/2006/relationships/hyperlink" Target="https://www.sec.gov/Archives/edgar/data/1091667/000114036125019688/ef20049261_ex99-1.htm" TargetMode="External"/><Relationship Id="rId263" Type="http://schemas.openxmlformats.org/officeDocument/2006/relationships/hyperlink" Target="https://www.sec.gov/Archives/edgar/data/1091667/000109166721000032/a022321chtr8-kexh991.htm" TargetMode="External"/><Relationship Id="rId264" Type="http://schemas.openxmlformats.org/officeDocument/2006/relationships/hyperlink" Target="https://www.sec.gov/Archives/edgar/data/1091667/000114036124046322/ny20038391x1_ex10-1.htm" TargetMode="External"/><Relationship Id="rId265" Type="http://schemas.openxmlformats.org/officeDocument/2006/relationships/hyperlink" Target="https://www.sec.gov/Archives/edgar/data/1091667/000114036124046322/ny20038391x1_ex10-2.htm" TargetMode="External"/><Relationship Id="rId266" Type="http://schemas.openxmlformats.org/officeDocument/2006/relationships/hyperlink" Target="https://www.sec.gov/Archives/edgar/data/1091667/000114036124046322/ny20038391x1_ex10-4.htm" TargetMode="External"/><Relationship Id="rId267" Type="http://schemas.openxmlformats.org/officeDocument/2006/relationships/hyperlink" Target="https://www.sec.gov/Archives/edgar/data/808461/000110465918017479/a18-8247_1ex10d1.htm" TargetMode="External"/><Relationship Id="rId268" Type="http://schemas.openxmlformats.org/officeDocument/2006/relationships/hyperlink" Target="https://www.sec.gov/Archives/edgar/data/1091667/000114036124046322/ny20038391x1_ex10-6.htm" TargetMode="External"/><Relationship Id="rId269" Type="http://schemas.openxmlformats.org/officeDocument/2006/relationships/hyperlink" Target="https://www.sec.gov/Archives/edgar/data/808461/000110465918017479/a18-8247_1ex10d2.htm" TargetMode="External"/><Relationship Id="rId270" Type="http://schemas.openxmlformats.org/officeDocument/2006/relationships/hyperlink" Target="https://www.sec.gov/Archives/edgar/data/1091667/000114036125019688/ef20049261_ex10-1.htm" TargetMode="External"/><Relationship Id="rId271" Type="http://schemas.openxmlformats.org/officeDocument/2006/relationships/hyperlink" Target="https://www.sec.gov/Archives/edgar/data/1091667/000114036125019688/ef20049261_ex10-2.htm" TargetMode="External"/><Relationship Id="rId272" Type="http://schemas.openxmlformats.org/officeDocument/2006/relationships/hyperlink" Target="https://www.sec.gov/Archives/edgar/data/1091667/000114036125019688/ef20049261_ex10-3.htm" TargetMode="External"/><Relationship Id="rId273" Type="http://schemas.openxmlformats.org/officeDocument/2006/relationships/hyperlink" Target="https://www.sec.gov/Archives/edgar/data/1091667/000109166725000034/chtr12312024exh-191.htm" TargetMode="External"/><Relationship Id="rId276" Type="http://schemas.openxmlformats.org/officeDocument/2006/relationships/hyperlink" Target="https://www.sec.gov/Archives/edgar/data/1091667/000109166724000028/chtr12312023exh-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2026-01-30T06:46:11Z</dcterms:created>
  <dcterms:modified xsi:type="dcterms:W3CDTF">2026-01-30T06:46:11Z</dcterms:modified>
</cp:coreProperties>
</file>