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PURSUANT TO SECTION 13 OR 15 (d) OF THE</w:t>
      </w:r>
    </w:p>
    <w:p>
      <w:pPr>
        <w:jc w:val="center"/>
        <w:ind w:right="16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November 12, 1999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CHARTER COMMUNICATIONS, INC.</w:t>
      </w:r>
    </w:p>
    <w:p>
      <w:pPr>
        <w:ind w:left="274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3"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Delaware</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(State or Other Jurisdiction of Incorporation or Organization)</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333-83887</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43-1857213</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(Federal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2">
            <w:col w:w="5400" w:space="720"/>
            <w:col w:w="4099"/>
          </w:cols>
          <w:pgMar w:left="240" w:top="244" w:right="1440" w:bottom="1440" w:gutter="0" w:footer="0" w:header="0"/>
          <w:type w:val="continuous"/>
        </w:sectPr>
      </w:pPr>
    </w:p>
    <w:p>
      <w:pPr>
        <w:spacing w:after="0" w:line="22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12444 Powerscourt Drive - Suite 400</w:t>
      </w:r>
    </w:p>
    <w:p>
      <w:pPr>
        <w:spacing w:after="0" w:line="238" w:lineRule="auto"/>
        <w:rPr>
          <w:sz w:val="20"/>
          <w:szCs w:val="20"/>
          <w:color w:val="auto"/>
        </w:rPr>
      </w:pPr>
      <w:r>
        <w:rPr>
          <w:rFonts w:ascii="Courier New" w:cs="Courier New" w:eastAsia="Courier New" w:hAnsi="Courier New"/>
          <w:sz w:val="18"/>
          <w:szCs w:val="18"/>
          <w:color w:val="auto"/>
        </w:rPr>
        <w:t>St. Louis, Missouri</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63131</w:t>
      </w:r>
    </w:p>
    <w:p>
      <w:pPr>
        <w:ind w:left="3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6660" w:space="720"/>
            <w:col w:w="283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(314) 965-0555</w:t>
      </w:r>
    </w:p>
    <w:p>
      <w:pPr>
        <w:sectPr>
          <w:pgSz w:w="11900" w:h="16838" w:orient="portrait"/>
          <w:cols w:equalWidth="0" w:num="2">
            <w:col w:w="6240" w:space="720"/>
            <w:col w:w="3259"/>
          </w:cols>
          <w:pgMar w:left="240" w:top="244"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OF ASSETS.</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On November 12, 1999, Charter Communications Holding Company, LLC (Charter Holdco), managed by and 40.6% owned by Charter Communications, Inc. (the "Company"), completed the acquisition of partnership interests in Falcon Communications, L.P. (FCLP) from Falcon Holding Group, L.P. and TCI Falcon Holdings, LLC, interests in a number of entities held by Falcon Cable Trust and Falcon Holding Group, Inc., specified interests in Enstar Communications Corporation and Enstar Finance Company, LLC held by Falcon Holding Group, L.P. and specified interests in Adlink held by DHN Inc. (collectively referred to as the "Falcon Acquisition" herein). Charter Investment, Inc., an affiliate of the Company, entered into the Falcon Acquisition purchase agreement in May 1999 and assigned its rights under the purchase agreement to Charter Holdco.</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purchase price for the Falcon Acquisition was $3.5 billion, subject to adjustment, and was comprised of $1.3 billion in cash, $550 million in equity of Charter Holdco and $1.7 billion in assumed debt. A portion of the proceeds from the Company's initial public offering of Class A common stock were used to fund the Falcon Acquisition.</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Immediately upon the closing of the Falcon Acquisition, Falcon Holding Group, L.P. contributed to Charter Holdco a portion of its partnership interests in FCLP in exchange for $550 million of membership interests in Charter Holdco. These membership interests were exchanged on a one for one basis for Class A common stock of the Company. Falcon Holding Group, L.P. has the right to require Paul G. Allen, majority owner of the Company, or his designee to purchase these shares for a price equal to $550 million plus interest of 4.5% per annum. These rights terminate upon the second anniversary of the closing of the Falcon Acquisition, November 12, 2001.</w:t>
      </w:r>
    </w:p>
    <w:p>
      <w:pPr>
        <w:spacing w:after="0" w:line="214"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Immediately after the consummation of the transactions described above, FCLP merged with and into CC VII Holdings, LLC (CC VII). CC VII, the surviving entity of the merger, succeeded the rights and obligations of FCLP, including obligations with respect to FCLP's outstanding debentures (see Item 5 below). CC VII is a limited liability company and its manager is the Company. The sole member of CC VII is Charter Holdco.</w:t>
      </w:r>
    </w:p>
    <w:p>
      <w:pPr>
        <w:spacing w:after="0" w:line="21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Falcon cable systems are located in California and the Pacific Northwest, Missouri, North Carolina, Alabama and Georgia and serve approximately 1,005,000 customers. For the nine months ended September 30, 1999, the Falcon cable systems had revenues of approximately $320.2 million. For the year ended December 31, 1999, the Falcon cable systems had revenues of approximately $307.6 million.</w:t>
      </w:r>
    </w:p>
    <w:p>
      <w:pPr>
        <w:spacing w:after="0" w:line="210"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A copy of the Company's press release announcing the consummation of the Falcon acquisition is being filed as Exhibit 99.1 with this report.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acquisition of Falcon by Charter Holdco constituted a change in control under the indentures to Falcon's publicly held 8.375% Senior Debentures due 2010 and publicly held 9.285% Senior Discount Debentures due 2010. The indentures governing these debentures provide that upon the occurrence of a change of control, each holder of the debentures has the right to require Falcon to repurchase each holder's debentures at a cash offer price equal to 101% of the aggregate principal amount thereon or 101% of the accreted value for the senior discount debentures, plus accrued and unpaid interest. Accordingly, CC VII and Falcon Funding Corp., co-obligor of the debentures, intend to make an offer to repurchase the debentures on or before December 12, 1999.</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w:t>
      </w:r>
    </w:p>
    <w:p>
      <w:pPr>
        <w:spacing w:after="0" w:line="206" w:lineRule="exact"/>
        <w:rPr>
          <w:rFonts w:ascii="Courier New" w:cs="Courier New" w:eastAsia="Courier New" w:hAnsi="Courier New"/>
          <w:sz w:val="18"/>
          <w:szCs w:val="18"/>
          <w:color w:val="auto"/>
        </w:rPr>
      </w:pPr>
    </w:p>
    <w:p>
      <w:pPr>
        <w:ind w:left="148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Unaudited financial statements for the nine months ended September 30, 1999 (incorporated by reference to the quarterly report on Form 10-Q filed by Falcon Communications, L.P. and Falcon Funding Corporation on November 12, 1999, File Nos. 333-60776 and</w:t>
      </w:r>
    </w:p>
    <w:p>
      <w:pPr>
        <w:ind w:left="148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333-55755). Audited financial statements for each of the three years in the period ended December 31, 1998 (incorporated by reference to Amendment No. 5 to the Registration Statement of Charter Communications, Inc. filed on November 4, 1999, File No. 333-83887).</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6" w:lineRule="exact"/>
        <w:rPr>
          <w:rFonts w:ascii="Courier New" w:cs="Courier New" w:eastAsia="Courier New" w:hAnsi="Courier New"/>
          <w:sz w:val="18"/>
          <w:szCs w:val="18"/>
          <w:color w:val="auto"/>
        </w:rPr>
      </w:pPr>
    </w:p>
    <w:p>
      <w:pPr>
        <w:ind w:left="148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Article 11 of Regulation S-X, pro forma unaudited financial statements will be filed as an amendment to this current report within 60 days of the event reported herein.</w:t>
      </w:r>
    </w:p>
    <w:p>
      <w:pPr>
        <w:spacing w:after="0" w:line="203"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120" w:right="1879" w:hanging="63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2.9 Purchase and Contribution Agreement, dated as of May 26, 1999, by and among Falcon Communications, L.P., Falcon Holding Group, L.P., TCI Falcon Holdings, LLC, Falcon Cable Trust, Falcon Holding Group, Inc. and DHN Inc. and Charter Communications, Inc. (now Charter Investment, Inc.) (incorporated by reference to Exhibit 2.9 to Amendment No. 2 to the Registration Statement of Charter Communications,</w:t>
      </w:r>
    </w:p>
    <w:p>
      <w:pPr>
        <w:spacing w:after="0" w:line="1" w:lineRule="exact"/>
        <w:rPr>
          <w:sz w:val="20"/>
          <w:szCs w:val="20"/>
          <w:color w:val="auto"/>
        </w:rPr>
      </w:pPr>
    </w:p>
    <w:p>
      <w:pPr>
        <w:ind w:left="1380" w:right="2319" w:firstLine="737"/>
        <w:spacing w:after="0" w:line="268" w:lineRule="auto"/>
        <w:rPr>
          <w:sz w:val="20"/>
          <w:szCs w:val="20"/>
          <w:color w:val="auto"/>
        </w:rPr>
      </w:pPr>
      <w:r>
        <w:rPr>
          <w:rFonts w:ascii="Courier New" w:cs="Courier New" w:eastAsia="Courier New" w:hAnsi="Courier New"/>
          <w:sz w:val="16"/>
          <w:szCs w:val="16"/>
          <w:color w:val="auto"/>
        </w:rPr>
        <w:t>Inc. filed on September 28, 1999, File No. 333-83887). 2.9(a) First Amendment to Purchase and Contribution Agreement,</w:t>
      </w:r>
    </w:p>
    <w:p>
      <w:pPr>
        <w:ind w:left="2120" w:right="1999"/>
        <w:spacing w:after="0" w:line="268" w:lineRule="auto"/>
        <w:rPr>
          <w:sz w:val="20"/>
          <w:szCs w:val="20"/>
          <w:color w:val="auto"/>
        </w:rPr>
      </w:pPr>
      <w:r>
        <w:rPr>
          <w:rFonts w:ascii="Courier New" w:cs="Courier New" w:eastAsia="Courier New" w:hAnsi="Courier New"/>
          <w:sz w:val="16"/>
          <w:szCs w:val="16"/>
          <w:color w:val="auto"/>
        </w:rPr>
        <w:t>dated as of June 22, 1999, and among Charter Communications, Inc., Charter Communications Holding Company, LLC, Falcon Communications, L.P., Falcon Holding Group, L.P., TCI Falcon Holdings, LLC, Falcon Cable Trust, Falcon Holding Group, Inc. and DHN Inc. (incorporated by reference to the quarterly report on Form 10-Q filed by Falcon Communications, L.P. and Falcon Funding Corporation on August 13, 1999, File Nos. 333-60776 and 333-55755).</w:t>
      </w:r>
    </w:p>
    <w:p>
      <w:pPr>
        <w:spacing w:after="0" w:line="1" w:lineRule="exact"/>
        <w:rPr>
          <w:sz w:val="20"/>
          <w:szCs w:val="20"/>
          <w:color w:val="auto"/>
        </w:rPr>
      </w:pPr>
    </w:p>
    <w:p>
      <w:pPr>
        <w:ind w:left="2120" w:right="1999" w:hanging="736"/>
        <w:spacing w:after="0" w:line="268" w:lineRule="auto"/>
        <w:rPr>
          <w:sz w:val="20"/>
          <w:szCs w:val="20"/>
          <w:color w:val="auto"/>
        </w:rPr>
      </w:pPr>
      <w:r>
        <w:rPr>
          <w:rFonts w:ascii="Courier New" w:cs="Courier New" w:eastAsia="Courier New" w:hAnsi="Courier New"/>
          <w:sz w:val="16"/>
          <w:szCs w:val="16"/>
          <w:color w:val="auto"/>
        </w:rPr>
        <w:t>2.9(b) Second Amendment to Purchase and Contribution Agreement, dated as of October 27, 1999, and among Charter Communications, Inc., Charter Communications Holding Company, LLC, Falcon Communications, L.P., Falcon Holding Group, L.P., TCI Falcon Holdings, LLC, Falcon Cable Trust, Falcon Holding Group, Inc. and DHN Inc. (incorporated by reference to the quarterly report on Form 10-Q filed by Falcon Communications, L.P. and Falcon Funding Corporation on November 12, 1999, File Nos. 333-60776 and 333-55755).</w:t>
      </w:r>
    </w:p>
    <w:p>
      <w:pPr>
        <w:spacing w:after="0" w:line="2" w:lineRule="exact"/>
        <w:rPr>
          <w:sz w:val="20"/>
          <w:szCs w:val="20"/>
          <w:color w:val="auto"/>
        </w:rPr>
      </w:pPr>
    </w:p>
    <w:p>
      <w:pPr>
        <w:ind w:left="2120" w:right="1879" w:hanging="736"/>
        <w:spacing w:after="0" w:line="237" w:lineRule="auto"/>
        <w:rPr>
          <w:sz w:val="20"/>
          <w:szCs w:val="20"/>
          <w:color w:val="auto"/>
        </w:rPr>
      </w:pPr>
      <w:r>
        <w:rPr>
          <w:rFonts w:ascii="Courier New" w:cs="Courier New" w:eastAsia="Courier New" w:hAnsi="Courier New"/>
          <w:sz w:val="18"/>
          <w:szCs w:val="18"/>
          <w:color w:val="auto"/>
        </w:rPr>
        <w:t>2.9(c) Third Amendment to the Purchase and Contribution Agreement, dated as of November 12, 1999, by and among Charter Investment, Inc., Charter Communications Holding Company, LLC, Falcon Communications, L.P., Falcon Holding Group, L.P., TCI Falcon Holdings, LLC, Falcon Cable Trust, Falcon Holding Group, Inc. and DHN Inc.</w:t>
      </w:r>
    </w:p>
    <w:p>
      <w:pPr>
        <w:spacing w:after="0" w:line="7" w:lineRule="exact"/>
        <w:rPr>
          <w:sz w:val="20"/>
          <w:szCs w:val="20"/>
          <w:color w:val="auto"/>
        </w:rPr>
      </w:pPr>
    </w:p>
    <w:p>
      <w:pPr>
        <w:ind w:left="2120" w:right="1999" w:hanging="736"/>
        <w:spacing w:after="0" w:line="268" w:lineRule="auto"/>
        <w:tabs>
          <w:tab w:leader="none" w:pos="210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Indenture, dated as of April 3, 1998, among Falcon Holding Group, L.P., (now known as CC VII Holdings, LLC), Falcon Funding Corporation and United States Trust Company of New York (incorporated by reference to the registration statement on Form S-4 of Falcon Holding Group, L.P. filed on April 18, 1999, File No. 333-55755).</w:t>
      </w:r>
    </w:p>
    <w:p>
      <w:pPr>
        <w:spacing w:after="0" w:line="1" w:lineRule="exact"/>
        <w:rPr>
          <w:sz w:val="20"/>
          <w:szCs w:val="20"/>
          <w:color w:val="auto"/>
        </w:rPr>
      </w:pPr>
    </w:p>
    <w:p>
      <w:pPr>
        <w:ind w:left="2120" w:right="1999" w:hanging="736"/>
        <w:spacing w:after="0" w:line="237" w:lineRule="auto"/>
        <w:tabs>
          <w:tab w:leader="none" w:pos="210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Supplemental Indenture, dated as of September 30, 1998, by and among Falcon Holding Group, L.P. (now known as CC VII Holdings, LLC), Falcon Funding Corporation, Falcon Communications, L.P., and United States Trust Company of New York, as trustee (incorporated by reference to the current report on Form 8-K of Falcon Communications, L.P. and Falcon Funding Corporation filed on October 9, 1998, File No. 333-60776).</w:t>
      </w:r>
    </w:p>
    <w:p>
      <w:pPr>
        <w:sectPr>
          <w:pgSz w:w="11900" w:h="16838" w:orient="portrait"/>
          <w:cols w:equalWidth="0" w:num="1">
            <w:col w:w="10219"/>
          </w:cols>
          <w:pgMar w:left="240" w:top="31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left="1800" w:right="1999" w:hanging="736"/>
        <w:spacing w:after="0" w:line="237" w:lineRule="auto"/>
        <w:tabs>
          <w:tab w:leader="none" w:pos="178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Second Supplemental Indenture, dated as of November 12, 1999, by and among CC VII Holdings, LLC, Falcon Funding Corp., Falcon Communications, L.P. and United States Trust Company of New York (incorporated by reference to the current report on Form 8-K of Falcon Communications, L.P. and Falcon Funding Corporation filed on November 23, 1999, File No. 333-60776).*</w:t>
      </w:r>
    </w:p>
    <w:p>
      <w:pPr>
        <w:spacing w:after="0" w:line="9" w:lineRule="exact"/>
        <w:rPr>
          <w:sz w:val="20"/>
          <w:szCs w:val="20"/>
          <w:color w:val="auto"/>
        </w:rPr>
      </w:pPr>
    </w:p>
    <w:p>
      <w:pPr>
        <w:ind w:left="1800" w:right="1779" w:hanging="736"/>
        <w:spacing w:after="0" w:line="238" w:lineRule="auto"/>
        <w:tabs>
          <w:tab w:leader="none" w:pos="1780" w:val="left"/>
        </w:tabs>
        <w:rPr>
          <w:sz w:val="20"/>
          <w:szCs w:val="20"/>
          <w:color w:val="auto"/>
        </w:rPr>
      </w:pPr>
      <w:r>
        <w:rPr>
          <w:rFonts w:ascii="Courier New" w:cs="Courier New" w:eastAsia="Courier New" w:hAnsi="Courier New"/>
          <w:sz w:val="18"/>
          <w:szCs w:val="18"/>
          <w:color w:val="auto"/>
        </w:rPr>
        <w:t>10.36</w:t>
        <w:tab/>
        <w:t>Form of Credit Agreement, dated as of June 30, 1998, as amended and restated as of November __, 1999, among Falcon Cable Communications, LLC, certain guarantors and lenders named therein, BankBoston, N.A., as documentation agent, The Chase Manhattan Bank, as co-syndication agent, Bank of America, N.A., as syndication agent, Toronto Dominion (Texas), Inc., as administrative agent, and TD Securities (USA) Inc. and BancBoston Securities Inc, as co-lead arrangers and joint book managers (incorporated by reference to Exhibit 10.36 to Amendment No. 3 to the registration statement on Form S-1 of Charter Communications, Inc. filed on October 18, 1999,</w:t>
      </w:r>
    </w:p>
    <w:p>
      <w:pPr>
        <w:ind w:left="1800"/>
        <w:spacing w:after="0" w:line="238" w:lineRule="auto"/>
        <w:rPr>
          <w:sz w:val="20"/>
          <w:szCs w:val="20"/>
          <w:color w:val="auto"/>
        </w:rPr>
      </w:pPr>
      <w:r>
        <w:rPr>
          <w:rFonts w:ascii="Courier New" w:cs="Courier New" w:eastAsia="Courier New" w:hAnsi="Courier New"/>
          <w:sz w:val="18"/>
          <w:szCs w:val="18"/>
          <w:color w:val="auto"/>
        </w:rPr>
        <w:t>File No. 333-83887).</w:t>
      </w: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November 15, 1999.*</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*filed herewith</w:t>
      </w:r>
    </w:p>
    <w:p>
      <w:pPr>
        <w:sectPr>
          <w:pgSz w:w="11900" w:h="16838" w:orient="portrait"/>
          <w:cols w:equalWidth="0" w:num="1">
            <w:col w:w="9899"/>
          </w:cols>
          <w:pgMar w:left="56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Charter Communications, Inc.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CHARTER COMMUNICATIONS, INC.,</w:t>
      </w:r>
    </w:p>
    <w:p>
      <w:pPr>
        <w:ind w:left="4540"/>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29,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KENT D. KALKWARF</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tabs>
          <w:tab w:leader="none" w:pos="11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Kent D. Kalkwarf</w:t>
      </w:r>
    </w:p>
    <w:p>
      <w:pPr>
        <w:ind w:left="420"/>
        <w:spacing w:after="0" w:line="237" w:lineRule="auto"/>
        <w:rPr>
          <w:sz w:val="20"/>
          <w:szCs w:val="20"/>
          <w:color w:val="auto"/>
        </w:rPr>
      </w:pPr>
      <w:r>
        <w:rPr>
          <w:rFonts w:ascii="Courier New" w:cs="Courier New" w:eastAsia="Courier New" w:hAnsi="Courier New"/>
          <w:sz w:val="18"/>
          <w:szCs w:val="18"/>
          <w:color w:val="auto"/>
        </w:rPr>
        <w:t>Title: Senior Vice President and</w:t>
      </w:r>
    </w:p>
    <w:p>
      <w:pPr>
        <w:ind w:left="1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(Principal Financial Officer</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and Principal Accounting</w:t>
      </w:r>
    </w:p>
    <w:p>
      <w:pPr>
        <w:ind w:left="1160"/>
        <w:spacing w:after="0" w:line="238" w:lineRule="auto"/>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2">
            <w:col w:w="3080" w:space="720"/>
            <w:col w:w="64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4.4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SECOND SUPPLEMENTAL INDENTURE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SECOND SUPPLEMENTAL INDENTURE (the "Supplemental Indenture"), dated as of November 12, 1999, by and among Falcon Communications, L.P., a California limited partnership ("FCLP"), Falcon Funding Corporation, a California corporation ("FFC"), CC VII Holdings, LLC, a Delaware limited liability company ("CCLLC"), and United States Trust Company of New York, as trustee (the "Trustee").</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319" w:firstLine="948"/>
        <w:spacing w:after="0" w:line="290" w:lineRule="auto"/>
        <w:rPr>
          <w:sz w:val="20"/>
          <w:szCs w:val="20"/>
          <w:color w:val="auto"/>
        </w:rPr>
      </w:pPr>
      <w:r>
        <w:rPr>
          <w:rFonts w:ascii="Courier New" w:cs="Courier New" w:eastAsia="Courier New" w:hAnsi="Courier New"/>
          <w:sz w:val="16"/>
          <w:szCs w:val="16"/>
          <w:color w:val="auto"/>
        </w:rPr>
        <w:t>WHEREAS, as of the date hereof, FCLP is to be merged with and into CCLLC, with CCLLC surviving the merger as successor-in-interest to FCLP;</w:t>
      </w:r>
    </w:p>
    <w:p>
      <w:pPr>
        <w:spacing w:after="0" w:line="170"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WHEREAS, pursuant to Section 5.01(ii) of that certain Indenture dated as of April 3, 1998, as amended by the First Supplemental Indenture dated as of September 30, 1998, by and among FCLP, FFC, and the Trustee, relating to the</w:t>
      </w:r>
    </w:p>
    <w:p>
      <w:pPr>
        <w:spacing w:after="0" w:line="1"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8.375% Senior Debentures due 2010 and the 9.285% Senior Discount Debentures due 2010 (the "Indenture"), FCLP may not consolidate or merge with or transfer all or substantially all of its assets to any Person unless such Person assumes all of the obligations of FCLP under the Debentures and the Indenture, and any remaining obligations of FCLP and Falcon Holding Group, L.P., a Delaware limited partnership ("FHGLP"), under the Registration Rights Agreement;</w:t>
      </w:r>
    </w:p>
    <w:p>
      <w:pPr>
        <w:spacing w:after="0" w:line="186" w:lineRule="exact"/>
        <w:rPr>
          <w:sz w:val="20"/>
          <w:szCs w:val="20"/>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WHEREAS, all things necessary to make this Supplemental Indenture a valid supplement to the Indenture according to its terms and the terms of the Indenture have been done.</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2199"/>
        <w:spacing w:after="0" w:line="290" w:lineRule="auto"/>
        <w:rPr>
          <w:sz w:val="20"/>
          <w:szCs w:val="20"/>
          <w:color w:val="auto"/>
        </w:rPr>
      </w:pPr>
      <w:r>
        <w:rPr>
          <w:rFonts w:ascii="Courier New" w:cs="Courier New" w:eastAsia="Courier New" w:hAnsi="Courier New"/>
          <w:sz w:val="16"/>
          <w:szCs w:val="16"/>
          <w:color w:val="auto"/>
        </w:rPr>
        <w:t>Section 1. Definitions. All capitalized terms used herein without definition herein shall have the meanings ascribed to such terms in the Indenture.</w:t>
      </w:r>
    </w:p>
    <w:p>
      <w:pPr>
        <w:spacing w:after="0" w:line="17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Section 2. Assumption of Obligations. CCLLC hereby expressly assumes all of the obligations of FCLP under the Debentures and the Indenture, and any remaining obligations of FCLP and FHGLP under the Registration Rights Agreement. The Indenture is hereby amended in accordance with the preceding sentence.</w:t>
      </w:r>
    </w:p>
    <w:p>
      <w:pPr>
        <w:spacing w:after="0" w:line="182"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Section 3. Governing Law. The laws of the State of New York shall govern this Supplemental Indenture, without regard to the choice of law provisions thereof.</w:t>
      </w:r>
    </w:p>
    <w:p>
      <w:pPr>
        <w:spacing w:after="0" w:line="170"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Section 4. Counterparts. This Supplemental Indenture may be signed in any number of counterparts, each of which shall be an original, with the same effect as if the signatures thereto and hereto were upon the same instrument.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 Ratification. Except as expressly amended hereby, each provision of the Indenture shall remain in full force and effect and, as amended hereby, the Indenture is in all respects agreed to, ratified, and confirmed by each of the Issuers and the Trustee.</w:t>
      </w:r>
    </w:p>
    <w:p>
      <w:pPr>
        <w:sectPr>
          <w:pgSz w:w="11900" w:h="16838" w:orient="portrait"/>
          <w:cols w:equalWidth="0" w:num="1">
            <w:col w:w="10219"/>
          </w:cols>
          <w:pgMar w:left="240"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9"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IN WITNESS WHEREOF, the parties hereto have caused this Supplemental Indenture to be duly executed as of the date first above written.</w:t>
      </w:r>
    </w:p>
    <w:p>
      <w:pPr>
        <w:spacing w:after="0" w:line="16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FALCON COMMUNICATIONS, L.P.</w:t>
      </w: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 Charter Communications Holding Company, LLC</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Its: General Partner</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FALCON FUNDING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CC VII HOLDINGS, LLC</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UNITED STATES TRUST COMPANY OF NEW YORK, as Trustee</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12"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[CHARTER COMMUNICATIONS LOGO]</w:t>
      </w:r>
    </w:p>
    <w:p>
      <w:pPr>
        <w:spacing w:after="0" w:line="200" w:lineRule="exact"/>
        <w:rPr>
          <w:sz w:val="20"/>
          <w:szCs w:val="20"/>
          <w:color w:val="auto"/>
        </w:rPr>
      </w:pPr>
    </w:p>
    <w:p>
      <w:pPr>
        <w:spacing w:after="0" w:line="204"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CHARTER COMMUNICATIONS' ACQUISITION</w:t>
      </w:r>
    </w:p>
    <w:p>
      <w:pPr>
        <w:jc w:val="center"/>
        <w:ind w:right="1659"/>
        <w:spacing w:after="0" w:line="238" w:lineRule="auto"/>
        <w:rPr>
          <w:sz w:val="20"/>
          <w:szCs w:val="20"/>
          <w:color w:val="auto"/>
        </w:rPr>
      </w:pPr>
      <w:r>
        <w:rPr>
          <w:rFonts w:ascii="Courier New" w:cs="Courier New" w:eastAsia="Courier New" w:hAnsi="Courier New"/>
          <w:sz w:val="18"/>
          <w:szCs w:val="18"/>
          <w:color w:val="auto"/>
        </w:rPr>
        <w:t>OF FALCON COMMUNICATIONS, L.P. IS FINAL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 LOUIS, MO, NOVEMBER 15, 1999 -- Charter Communications (Nasdaq: CHTR) announced that it completed the acquisition of cable televisions systems owned by Falcon Communications, L.P on Friday, Nov. 12. Charter acquired Falcon in a cash and stock transaction valued at approximately $3.6 billion. Falcon's cable television operations pass approximately 1.6 million homes and serve approximately 1 million subscribers with its largest concentrations of customers in California and the Pacific Northwest, Missouri, North Carolina, Alabama and Georgia.</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Charter Communications is a Wired World(TM) company offering a full range of traditional cable television services. The company has also begun to offer services including digital cable television, high-speed Internet access and paging and is introducing interactive video programming. All of these services are important steps toward the realization of the Wired World vision where cable's ability to transmit voice, video and data at high speeds will enable it to serve as the primary platform for the delivery of new services to the home and workplace. Charter is the fourth largest operator of cable television systems in the United States, serving approximately 6.2 million customers, after giving effect to a pending acquisition. The chairman of Charter Communications is Paul G. Allen. Jerald L. Kent is the company's president and CEO. More information about Charter can be accessed on the Internet at www.chartercom.com.</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 CONTACT:</w:t>
      </w:r>
    </w:p>
    <w:p>
      <w:pPr>
        <w:spacing w:after="0" w:line="238" w:lineRule="auto"/>
        <w:rPr>
          <w:sz w:val="20"/>
          <w:szCs w:val="20"/>
          <w:color w:val="auto"/>
        </w:rPr>
      </w:pPr>
      <w:r>
        <w:rPr>
          <w:rFonts w:ascii="Courier New" w:cs="Courier New" w:eastAsia="Courier New" w:hAnsi="Courier New"/>
          <w:sz w:val="18"/>
          <w:szCs w:val="18"/>
          <w:color w:val="auto"/>
        </w:rPr>
        <w:t>Media: Anita Lamont</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Charter Communications, Inc.</w:t>
      </w:r>
    </w:p>
    <w:p>
      <w:pPr>
        <w:ind w:left="1900"/>
        <w:spacing w:after="0" w:line="238" w:lineRule="auto"/>
        <w:rPr>
          <w:sz w:val="20"/>
          <w:szCs w:val="20"/>
          <w:color w:val="auto"/>
        </w:rPr>
      </w:pPr>
      <w:r>
        <w:rPr>
          <w:rFonts w:ascii="Courier New" w:cs="Courier New" w:eastAsia="Courier New" w:hAnsi="Courier New"/>
          <w:sz w:val="18"/>
          <w:szCs w:val="18"/>
          <w:color w:val="auto"/>
        </w:rPr>
        <w:t>314/543-2215</w:t>
      </w:r>
    </w:p>
    <w:p>
      <w:pPr>
        <w:ind w:left="1900"/>
        <w:spacing w:after="0"/>
        <w:rPr>
          <w:sz w:val="20"/>
          <w:szCs w:val="20"/>
          <w:color w:val="auto"/>
        </w:rPr>
      </w:pPr>
      <w:r>
        <w:rPr>
          <w:rFonts w:ascii="Courier New" w:cs="Courier New" w:eastAsia="Courier New" w:hAnsi="Courier New"/>
          <w:sz w:val="18"/>
          <w:szCs w:val="18"/>
          <w:color w:val="auto"/>
        </w:rPr>
        <w:t>www.alamont@chartercom.com</w:t>
      </w:r>
    </w:p>
    <w:p>
      <w:pPr>
        <w:ind w:left="464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2019-12-14T23:54:13Z</dcterms:created>
  <dcterms:modified xsi:type="dcterms:W3CDTF">2019-12-14T23:54:13Z</dcterms:modified>
</cp:coreProperties>
</file>