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160020</wp:posOffset>
            </wp:positionV>
            <wp:extent cx="192024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400" w:type="dxa"/>
            <w:vAlign w:val="bottom"/>
            <w:gridSpan w:val="7"/>
          </w:tcPr>
          <w:p>
            <w:pPr>
              <w:jc w:val="center"/>
              <w:ind w:right="3568"/>
              <w:spacing w:after="0"/>
              <w:rPr>
                <w:sz w:val="20"/>
                <w:szCs w:val="20"/>
                <w:color w:val="auto"/>
              </w:rPr>
            </w:pPr>
            <w:r>
              <w:rPr>
                <w:rFonts w:ascii="Times New Roman" w:cs="Times New Roman" w:eastAsia="Times New Roman" w:hAnsi="Times New Roman"/>
                <w:sz w:val="18"/>
                <w:szCs w:val="18"/>
                <w:b w:val="1"/>
                <w:bCs w:val="1"/>
                <w:color w:val="auto"/>
                <w:w w:val="99"/>
              </w:rPr>
              <w:t>Charter Communications, Inc.</w:t>
            </w:r>
          </w:p>
        </w:tc>
      </w:tr>
      <w:tr>
        <w:trPr>
          <w:trHeight w:val="216"/>
        </w:trPr>
        <w:tc>
          <w:tcPr>
            <w:tcW w:w="3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40" w:type="dxa"/>
            <w:vAlign w:val="bottom"/>
            <w:gridSpan w:val="6"/>
          </w:tcPr>
          <w:p>
            <w:pPr>
              <w:jc w:val="center"/>
              <w:ind w:right="4328"/>
              <w:spacing w:after="0"/>
              <w:rPr>
                <w:sz w:val="20"/>
                <w:szCs w:val="20"/>
                <w:color w:val="auto"/>
              </w:rPr>
            </w:pPr>
            <w:r>
              <w:rPr>
                <w:rFonts w:ascii="Times New Roman" w:cs="Times New Roman" w:eastAsia="Times New Roman" w:hAnsi="Times New Roman"/>
                <w:sz w:val="18"/>
                <w:szCs w:val="18"/>
                <w:b w:val="1"/>
                <w:bCs w:val="1"/>
                <w:color w:val="auto"/>
              </w:rPr>
              <w:t>CCO Holdings, LLC</w:t>
            </w:r>
          </w:p>
        </w:tc>
      </w:tr>
      <w:tr>
        <w:trPr>
          <w:trHeight w:val="198"/>
        </w:trPr>
        <w:tc>
          <w:tcPr>
            <w:tcW w:w="3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40" w:type="dxa"/>
            <w:vAlign w:val="bottom"/>
            <w:gridSpan w:val="6"/>
          </w:tcPr>
          <w:p>
            <w:pPr>
              <w:jc w:val="center"/>
              <w:ind w:right="4328"/>
              <w:spacing w:after="0" w:line="198" w:lineRule="exact"/>
              <w:rPr>
                <w:sz w:val="20"/>
                <w:szCs w:val="20"/>
                <w:color w:val="auto"/>
              </w:rPr>
            </w:pPr>
            <w:r>
              <w:rPr>
                <w:rFonts w:ascii="Times New Roman" w:cs="Times New Roman" w:eastAsia="Times New Roman" w:hAnsi="Times New Roman"/>
                <w:sz w:val="18"/>
                <w:szCs w:val="18"/>
                <w:b w:val="1"/>
                <w:bCs w:val="1"/>
                <w:color w:val="auto"/>
                <w:w w:val="99"/>
              </w:rPr>
              <w:t>CCO Holdings Capital Corp.</w:t>
            </w:r>
          </w:p>
        </w:tc>
      </w:tr>
      <w:tr>
        <w:trPr>
          <w:trHeight w:val="20"/>
        </w:trPr>
        <w:tc>
          <w:tcPr>
            <w:tcW w:w="3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86"/>
        </w:trPr>
        <w:tc>
          <w:tcPr>
            <w:tcW w:w="3620" w:type="dxa"/>
            <w:vAlign w:val="bottom"/>
          </w:tcPr>
          <w:p>
            <w:pPr>
              <w:spacing w:after="0"/>
              <w:rPr>
                <w:sz w:val="16"/>
                <w:szCs w:val="16"/>
                <w:color w:val="auto"/>
              </w:rPr>
            </w:pPr>
          </w:p>
        </w:tc>
        <w:tc>
          <w:tcPr>
            <w:tcW w:w="7400" w:type="dxa"/>
            <w:vAlign w:val="bottom"/>
            <w:gridSpan w:val="7"/>
          </w:tcPr>
          <w:p>
            <w:pPr>
              <w:jc w:val="center"/>
              <w:ind w:right="3568"/>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415"/>
        </w:trPr>
        <w:tc>
          <w:tcPr>
            <w:tcW w:w="3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5"/>
          </w:tcPr>
          <w:p>
            <w:pPr>
              <w:jc w:val="center"/>
              <w:ind w:right="5088"/>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20"/>
        </w:trPr>
        <w:tc>
          <w:tcPr>
            <w:tcW w:w="36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r>
      <w:tr>
        <w:trPr>
          <w:trHeight w:val="186"/>
        </w:trPr>
        <w:tc>
          <w:tcPr>
            <w:tcW w:w="3620" w:type="dxa"/>
            <w:vAlign w:val="bottom"/>
          </w:tcPr>
          <w:p>
            <w:pPr>
              <w:spacing w:after="0"/>
              <w:rPr>
                <w:sz w:val="16"/>
                <w:szCs w:val="16"/>
                <w:color w:val="auto"/>
              </w:rPr>
            </w:pPr>
          </w:p>
        </w:tc>
        <w:tc>
          <w:tcPr>
            <w:tcW w:w="7400" w:type="dxa"/>
            <w:vAlign w:val="bottom"/>
            <w:gridSpan w:val="7"/>
          </w:tcPr>
          <w:p>
            <w:pPr>
              <w:jc w:val="center"/>
              <w:ind w:right="3548"/>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r>
      <w:tr>
        <w:trPr>
          <w:trHeight w:val="258"/>
        </w:trPr>
        <w:tc>
          <w:tcPr>
            <w:tcW w:w="3620" w:type="dxa"/>
            <w:vAlign w:val="bottom"/>
          </w:tcPr>
          <w:p>
            <w:pPr>
              <w:jc w:val="center"/>
              <w:ind w:left="1675"/>
              <w:spacing w:after="0"/>
              <w:rPr>
                <w:sz w:val="20"/>
                <w:szCs w:val="20"/>
                <w:color w:val="auto"/>
              </w:rPr>
            </w:pPr>
            <w:r>
              <w:rPr>
                <w:rFonts w:ascii="Times New Roman" w:cs="Times New Roman" w:eastAsia="Times New Roman" w:hAnsi="Times New Roman"/>
                <w:sz w:val="18"/>
                <w:szCs w:val="18"/>
                <w:b w:val="1"/>
                <w:bCs w:val="1"/>
                <w:color w:val="auto"/>
                <w:w w:val="99"/>
              </w:rPr>
              <w:t>001-33664</w:t>
            </w:r>
          </w:p>
        </w:tc>
        <w:tc>
          <w:tcPr>
            <w:tcW w:w="7400" w:type="dxa"/>
            <w:vAlign w:val="bottom"/>
            <w:gridSpan w:val="7"/>
          </w:tcPr>
          <w:p>
            <w:pPr>
              <w:jc w:val="center"/>
              <w:ind w:left="1776"/>
              <w:spacing w:after="0"/>
              <w:rPr>
                <w:sz w:val="20"/>
                <w:szCs w:val="20"/>
                <w:color w:val="auto"/>
              </w:rPr>
            </w:pPr>
            <w:r>
              <w:rPr>
                <w:rFonts w:ascii="Times New Roman" w:cs="Times New Roman" w:eastAsia="Times New Roman" w:hAnsi="Times New Roman"/>
                <w:sz w:val="18"/>
                <w:szCs w:val="18"/>
                <w:b w:val="1"/>
                <w:bCs w:val="1"/>
                <w:color w:val="auto"/>
                <w:w w:val="98"/>
              </w:rPr>
              <w:t>84-1496755</w:t>
            </w:r>
          </w:p>
        </w:tc>
      </w:tr>
      <w:tr>
        <w:trPr>
          <w:trHeight w:val="229"/>
        </w:trPr>
        <w:tc>
          <w:tcPr>
            <w:tcW w:w="3620" w:type="dxa"/>
            <w:vAlign w:val="bottom"/>
          </w:tcPr>
          <w:p>
            <w:pPr>
              <w:jc w:val="center"/>
              <w:ind w:left="1675"/>
              <w:spacing w:after="0"/>
              <w:rPr>
                <w:sz w:val="20"/>
                <w:szCs w:val="20"/>
                <w:color w:val="auto"/>
              </w:rPr>
            </w:pPr>
            <w:r>
              <w:rPr>
                <w:rFonts w:ascii="Times New Roman" w:cs="Times New Roman" w:eastAsia="Times New Roman" w:hAnsi="Times New Roman"/>
                <w:sz w:val="18"/>
                <w:szCs w:val="18"/>
                <w:b w:val="1"/>
                <w:bCs w:val="1"/>
                <w:color w:val="auto"/>
                <w:w w:val="99"/>
              </w:rPr>
              <w:t>001-37789</w:t>
            </w:r>
          </w:p>
        </w:tc>
        <w:tc>
          <w:tcPr>
            <w:tcW w:w="7400" w:type="dxa"/>
            <w:vAlign w:val="bottom"/>
            <w:gridSpan w:val="7"/>
          </w:tcPr>
          <w:p>
            <w:pPr>
              <w:jc w:val="center"/>
              <w:ind w:left="1776"/>
              <w:spacing w:after="0"/>
              <w:rPr>
                <w:sz w:val="20"/>
                <w:szCs w:val="20"/>
                <w:color w:val="auto"/>
              </w:rPr>
            </w:pPr>
            <w:r>
              <w:rPr>
                <w:rFonts w:ascii="Times New Roman" w:cs="Times New Roman" w:eastAsia="Times New Roman" w:hAnsi="Times New Roman"/>
                <w:sz w:val="18"/>
                <w:szCs w:val="18"/>
                <w:b w:val="1"/>
                <w:bCs w:val="1"/>
                <w:color w:val="auto"/>
                <w:w w:val="98"/>
              </w:rPr>
              <w:t>86-1067239</w:t>
            </w:r>
          </w:p>
        </w:tc>
      </w:tr>
      <w:tr>
        <w:trPr>
          <w:trHeight w:val="238"/>
        </w:trPr>
        <w:tc>
          <w:tcPr>
            <w:tcW w:w="3620" w:type="dxa"/>
            <w:vAlign w:val="bottom"/>
          </w:tcPr>
          <w:p>
            <w:pPr>
              <w:jc w:val="center"/>
              <w:ind w:left="1675"/>
              <w:spacing w:after="0"/>
              <w:rPr>
                <w:sz w:val="20"/>
                <w:szCs w:val="20"/>
                <w:color w:val="auto"/>
              </w:rPr>
            </w:pPr>
            <w:r>
              <w:rPr>
                <w:rFonts w:ascii="Times New Roman" w:cs="Times New Roman" w:eastAsia="Times New Roman" w:hAnsi="Times New Roman"/>
                <w:sz w:val="18"/>
                <w:szCs w:val="18"/>
                <w:b w:val="1"/>
                <w:bCs w:val="1"/>
                <w:color w:val="auto"/>
                <w:w w:val="99"/>
              </w:rPr>
              <w:t>333-112593-01</w:t>
            </w:r>
          </w:p>
        </w:tc>
        <w:tc>
          <w:tcPr>
            <w:tcW w:w="7400" w:type="dxa"/>
            <w:vAlign w:val="bottom"/>
            <w:gridSpan w:val="7"/>
          </w:tcPr>
          <w:p>
            <w:pPr>
              <w:jc w:val="center"/>
              <w:ind w:left="1776"/>
              <w:spacing w:after="0"/>
              <w:rPr>
                <w:sz w:val="20"/>
                <w:szCs w:val="20"/>
                <w:color w:val="auto"/>
              </w:rPr>
            </w:pPr>
            <w:r>
              <w:rPr>
                <w:rFonts w:ascii="Times New Roman" w:cs="Times New Roman" w:eastAsia="Times New Roman" w:hAnsi="Times New Roman"/>
                <w:sz w:val="18"/>
                <w:szCs w:val="18"/>
                <w:b w:val="1"/>
                <w:bCs w:val="1"/>
                <w:color w:val="auto"/>
                <w:w w:val="98"/>
              </w:rPr>
              <w:t>20-0257904</w:t>
            </w:r>
          </w:p>
        </w:tc>
      </w:tr>
      <w:tr>
        <w:trPr>
          <w:trHeight w:val="184"/>
        </w:trPr>
        <w:tc>
          <w:tcPr>
            <w:tcW w:w="3620" w:type="dxa"/>
            <w:vAlign w:val="bottom"/>
            <w:tcBorders>
              <w:top w:val="single" w:sz="8" w:color="auto"/>
            </w:tcBorders>
          </w:tcPr>
          <w:p>
            <w:pPr>
              <w:ind w:left="1900"/>
              <w:spacing w:after="0"/>
              <w:rPr>
                <w:sz w:val="20"/>
                <w:szCs w:val="20"/>
                <w:color w:val="auto"/>
              </w:rPr>
            </w:pPr>
            <w:r>
              <w:rPr>
                <w:rFonts w:ascii="Times New Roman" w:cs="Times New Roman" w:eastAsia="Times New Roman" w:hAnsi="Times New Roman"/>
                <w:sz w:val="14"/>
                <w:szCs w:val="14"/>
                <w:i w:val="1"/>
                <w:iCs w:val="1"/>
                <w:color w:val="auto"/>
              </w:rPr>
              <w:t>(Commission File Number)</w:t>
            </w:r>
          </w:p>
        </w:tc>
        <w:tc>
          <w:tcPr>
            <w:tcW w:w="7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400" w:type="dxa"/>
            <w:vAlign w:val="bottom"/>
            <w:tcBorders>
              <w:top w:val="single" w:sz="8" w:color="auto"/>
            </w:tcBorders>
          </w:tcPr>
          <w:p>
            <w:pPr>
              <w:jc w:val="center"/>
              <w:ind w:right="1068"/>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tc>
      </w:tr>
    </w:tbl>
    <w:p>
      <w:pPr>
        <w:spacing w:after="0" w:line="3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400 Washington Blvd.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Stamford, Connecticut 06902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(203) 905-7801</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(Former name or former address, if changed since last report)</w:t>
      </w:r>
    </w:p>
    <w:p>
      <w:pPr>
        <w:spacing w:after="0" w:line="32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CHTR</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06"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424180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2025, Charter Communications, Inc. issued a press release announcing its results for the fourth quarter ended December 31, 2024. The following information, including the entirety of the press release appearing in Exhibit 99.1 hereto, is not filed but is furnished pursuant to item 2.02, "Results of Operations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62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1"/>
                <w:szCs w:val="21"/>
                <w:color w:val="auto"/>
              </w:rPr>
            </w:pPr>
          </w:p>
        </w:tc>
      </w:tr>
      <w:tr>
        <w:trPr>
          <w:trHeight w:val="418"/>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January 31, 2025</w:t>
            </w:r>
          </w:p>
        </w:tc>
        <w:tc>
          <w:tcPr>
            <w:tcW w:w="6260" w:type="dxa"/>
            <w:vAlign w:val="bottom"/>
            <w:gridSpan w:val="2"/>
          </w:tcPr>
          <w:p>
            <w:pPr>
              <w:spacing w:after="0"/>
              <w:rPr>
                <w:sz w:val="24"/>
                <w:szCs w:val="24"/>
                <w:color w:val="auto"/>
              </w:rPr>
            </w:pPr>
          </w:p>
        </w:tc>
      </w:tr>
      <w:tr>
        <w:trPr>
          <w:trHeight w:val="250"/>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392"/>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furnished herewith</w:t>
            </w: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0"/>
        </w:trPr>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includes forward-looking statements within the meaning of Section 27A of the Securities Act of 1933, as amended, and Section 21E of the Securities Exchange Act of 1934, as amended, regarding, among other things, our plans, strategies and prospects, both business and financial.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from time to time in our filings with the Securities and Exchange Commission ("SEC"). Many of the forward-looking statements contained in this current report may be identified by the use of forward-looking words such as "believe,"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current report are set forth in other reports or documents that we file from time to time with the SEC, and include, but are not limited to:</w:t>
      </w:r>
    </w:p>
    <w:p>
      <w:pPr>
        <w:spacing w:after="0" w:line="221" w:lineRule="exact"/>
        <w:rPr>
          <w:sz w:val="20"/>
          <w:szCs w:val="20"/>
          <w:color w:val="auto"/>
        </w:rPr>
      </w:pPr>
    </w:p>
    <w:p>
      <w:pPr>
        <w:jc w:val="both"/>
        <w:ind w:left="660" w:hanging="328"/>
        <w:spacing w:after="0" w:line="25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grow revenues and cash flow from operations by offering Internet, video, mobile,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from other market participants, including but not limited to incumbent telephone companies, direct broadcast satellite ("DBS") operators, wireless broadband and telephone providers, digital subscriber line (“DSL”) providers, fiber to the home providers and providers of video content over broadband Internet connections;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conditions, unemployment levels and the level of activity in the housing sector and economic uncertainty or downturn;</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products and technologies including consumer services and service platforms;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disrupt our networks, information systems or properties and impair our operating activities or our reputation;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necessary services and equipment from our vendors in a timely manner and at reasonable costs including in connection with our network evolution and rural construction initiatives;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programming at reasonable prices or to raise prices to offset, in whole or in part, the effects of higher programming costs (including retransmission consents and distribution requirements);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hire and retain key personnel;</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access, in general, of funds to meet our debt obligations prior to or when they become due and to fund our operations and necessary capital expenditures, either through (i) cash on hand, (ii) free cash flow, or (iii) access to the capital or credit markets;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all covenants in our indentures and credit facilities, any violation of which, if not cured in a timely manner, could trigger a default of our other obligations under cross-default provisions;</w:t>
      </w:r>
    </w:p>
    <w:p>
      <w:pPr>
        <w:ind w:left="660" w:right="20" w:hanging="328"/>
        <w:spacing w:after="0" w:line="249"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satisfy the conditions to consummate the Liberty Broadband combination and/or to consummate the Liberty Broadband combination in a timely manner or at all;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us being restricted in the operation of our business while the Liberty Broadband merger agreement is in effect;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related to the Liberty Broadband combination as described in the definitive joint proxy statement/prospectus with respect to the combination, filed by Charter on January 22, 2025, including the sections entitled “Risk Factors” and “Where You Can Find More Information” included therein.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 acting on our behalf are expressly qualified in their entirety by this cautionary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under no duty or obligation to update any of the forward-looking statements after the date of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18"/>
        </w:trPr>
        <w:tc>
          <w:tcPr>
            <w:tcW w:w="518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2025</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bl>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CCO Holdings, LLC</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18"/>
        </w:trPr>
        <w:tc>
          <w:tcPr>
            <w:tcW w:w="518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2025</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bl>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CCO Holdings Capital Corp.</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18"/>
        </w:trPr>
        <w:tc>
          <w:tcPr>
            <w:tcW w:w="518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2025</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bl>
    <w:p>
      <w:pPr>
        <w:sectPr>
          <w:pgSz w:w="11900" w:h="16838" w:orient="portrait"/>
          <w:cols w:equalWidth="0" w:num="1">
            <w:col w:w="11240"/>
          </w:cols>
          <w:pgMar w:left="320" w:top="88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920240"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920240" cy="57467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Charter Announces Fourth Quarter and Full Year 2024 Results</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b w:val="1"/>
          <w:bCs w:val="1"/>
          <w:color w:val="auto"/>
        </w:rPr>
        <w:t xml:space="preserve">Stamford, Connecticut </w:t>
      </w:r>
      <w:r>
        <w:rPr>
          <w:rFonts w:ascii="Arial" w:cs="Arial" w:eastAsia="Arial" w:hAnsi="Arial"/>
          <w:sz w:val="20"/>
          <w:szCs w:val="20"/>
          <w:color w:val="auto"/>
        </w:rPr>
        <w:t>- January 31, 2025 - Charter Communications, Inc. (along with its subsidiaries,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or “Charter”), which operates the Spectrum brand, today reported financial and operating results for the three and twelve months ended December 31, 2024.</w:t>
      </w:r>
    </w:p>
    <w:p>
      <w:pPr>
        <w:spacing w:after="0" w:line="204" w:lineRule="exact"/>
        <w:rPr>
          <w:sz w:val="20"/>
          <w:szCs w:val="20"/>
          <w:color w:val="auto"/>
        </w:rPr>
      </w:pPr>
    </w:p>
    <w:p>
      <w:pPr>
        <w:ind w:left="340" w:hanging="251"/>
        <w:spacing w:after="0" w:line="286" w:lineRule="auto"/>
        <w:tabs>
          <w:tab w:leader="none" w:pos="32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Fourth quarter total Internet customers decreased by 177,000. As of December 31, 2024, Charter served 30.1 million Internet customers.</w:t>
      </w:r>
    </w:p>
    <w:p>
      <w:pPr>
        <w:spacing w:after="0" w:line="167" w:lineRule="exact"/>
        <w:rPr>
          <w:rFonts w:ascii="Arial" w:cs="Arial" w:eastAsia="Arial" w:hAnsi="Arial"/>
          <w:sz w:val="20"/>
          <w:szCs w:val="20"/>
          <w:b w:val="1"/>
          <w:bCs w:val="1"/>
          <w:color w:val="auto"/>
        </w:rPr>
      </w:pPr>
    </w:p>
    <w:p>
      <w:pPr>
        <w:ind w:left="340" w:hanging="251"/>
        <w:spacing w:after="0" w:line="286" w:lineRule="auto"/>
        <w:tabs>
          <w:tab w:leader="none" w:pos="32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Fourth quarter total mobile lines increased by 529,000. As of December 31, 2024, Charter served 9.9 million mobile lines, with 2.1 million mobile lines added in 2024.</w:t>
      </w:r>
    </w:p>
    <w:p>
      <w:pPr>
        <w:spacing w:after="0" w:line="167" w:lineRule="exact"/>
        <w:rPr>
          <w:rFonts w:ascii="Arial" w:cs="Arial" w:eastAsia="Arial" w:hAnsi="Arial"/>
          <w:sz w:val="20"/>
          <w:szCs w:val="20"/>
          <w:b w:val="1"/>
          <w:bCs w:val="1"/>
          <w:color w:val="auto"/>
        </w:rPr>
      </w:pPr>
    </w:p>
    <w:p>
      <w:pPr>
        <w:ind w:left="320" w:hanging="231"/>
        <w:spacing w:after="0"/>
        <w:tabs>
          <w:tab w:leader="none" w:pos="32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As of December 31, 2024, Charter had a total of 31.5 million customer relationships, excluding mobile-only relationships.</w:t>
      </w:r>
    </w:p>
    <w:p>
      <w:pPr>
        <w:spacing w:after="0" w:line="256" w:lineRule="exact"/>
        <w:rPr>
          <w:rFonts w:ascii="Arial" w:cs="Arial" w:eastAsia="Arial" w:hAnsi="Arial"/>
          <w:sz w:val="20"/>
          <w:szCs w:val="20"/>
          <w:b w:val="1"/>
          <w:bCs w:val="1"/>
          <w:color w:val="auto"/>
        </w:rPr>
      </w:pPr>
    </w:p>
    <w:p>
      <w:pPr>
        <w:jc w:val="both"/>
        <w:ind w:left="340" w:hanging="251"/>
        <w:spacing w:after="0" w:line="262" w:lineRule="auto"/>
        <w:tabs>
          <w:tab w:leader="none" w:pos="32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Fourth quarter revenue of $13.9 billion grew by 1.6% year-over-year, driven by residential mobile service revenue growth of 37.4%, advertising sales revenue growth of 26.4%, other revenue growth of 14.6% and residential Internet revenue growth of 0.9%.</w:t>
      </w:r>
    </w:p>
    <w:p>
      <w:pPr>
        <w:spacing w:after="0" w:line="205" w:lineRule="exact"/>
        <w:rPr>
          <w:rFonts w:ascii="Arial" w:cs="Arial" w:eastAsia="Arial" w:hAnsi="Arial"/>
          <w:sz w:val="20"/>
          <w:szCs w:val="20"/>
          <w:b w:val="1"/>
          <w:bCs w:val="1"/>
          <w:color w:val="auto"/>
        </w:rPr>
      </w:pPr>
    </w:p>
    <w:p>
      <w:pPr>
        <w:ind w:left="340" w:hanging="251"/>
        <w:spacing w:after="0" w:line="271" w:lineRule="auto"/>
        <w:tabs>
          <w:tab w:leader="none" w:pos="32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Net income attributable to Charter shareholders totaled $1.5 billion in the fourth quarter. For the year ended December 31, 2024, net income attributable to Charter shareholders totaled $5.1 billion.</w:t>
      </w:r>
    </w:p>
    <w:p>
      <w:pPr>
        <w:spacing w:after="0" w:line="196" w:lineRule="exact"/>
        <w:rPr>
          <w:rFonts w:ascii="Arial" w:cs="Arial" w:eastAsia="Arial" w:hAnsi="Arial"/>
          <w:sz w:val="20"/>
          <w:szCs w:val="20"/>
          <w:b w:val="1"/>
          <w:bCs w:val="1"/>
          <w:color w:val="auto"/>
        </w:rPr>
      </w:pPr>
    </w:p>
    <w:p>
      <w:pPr>
        <w:ind w:left="320" w:hanging="231"/>
        <w:spacing w:after="0"/>
        <w:tabs>
          <w:tab w:leader="none" w:pos="32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Fourth quarter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$5.8 billion grew by 3.4% year-over-year.</w:t>
      </w:r>
    </w:p>
    <w:p>
      <w:pPr>
        <w:spacing w:after="0" w:line="198" w:lineRule="exact"/>
        <w:rPr>
          <w:rFonts w:ascii="Arial" w:cs="Arial" w:eastAsia="Arial" w:hAnsi="Arial"/>
          <w:sz w:val="20"/>
          <w:szCs w:val="20"/>
          <w:b w:val="1"/>
          <w:bCs w:val="1"/>
          <w:color w:val="auto"/>
        </w:rPr>
      </w:pPr>
    </w:p>
    <w:p>
      <w:pPr>
        <w:ind w:left="340" w:right="20" w:hanging="251"/>
        <w:spacing w:after="0" w:line="271"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For the year ended December 31, 2024, revenue of $55.1 billion grew by 0.9% year-over-year. Full year 2024 Adjusted EBITDA totaled $22.6 billion, 3.1% higher than in 2023.</w:t>
      </w:r>
    </w:p>
    <w:p>
      <w:pPr>
        <w:spacing w:after="0" w:line="196" w:lineRule="exact"/>
        <w:rPr>
          <w:rFonts w:ascii="Arial" w:cs="Arial" w:eastAsia="Arial" w:hAnsi="Arial"/>
          <w:sz w:val="20"/>
          <w:szCs w:val="20"/>
          <w:color w:val="auto"/>
        </w:rPr>
      </w:pPr>
    </w:p>
    <w:p>
      <w:pPr>
        <w:ind w:left="320" w:hanging="231"/>
        <w:spacing w:after="0"/>
        <w:tabs>
          <w:tab w:leader="none" w:pos="320" w:val="left"/>
        </w:tabs>
        <w:numPr>
          <w:ilvl w:val="0"/>
          <w:numId w:val="3"/>
        </w:numPr>
        <w:rPr>
          <w:rFonts w:ascii="Arial" w:cs="Arial" w:eastAsia="Arial" w:hAnsi="Arial"/>
          <w:sz w:val="19"/>
          <w:szCs w:val="19"/>
          <w:color w:val="auto"/>
        </w:rPr>
      </w:pPr>
      <w:r>
        <w:rPr>
          <w:rFonts w:ascii="Arial" w:cs="Arial" w:eastAsia="Arial" w:hAnsi="Arial"/>
          <w:sz w:val="19"/>
          <w:szCs w:val="19"/>
          <w:color w:val="auto"/>
        </w:rPr>
        <w:t>For the year ended December 31, 2024, capital expenditures totaled $11.3 billion and included $4.2 billion of line extensions.</w:t>
      </w:r>
    </w:p>
    <w:p>
      <w:pPr>
        <w:spacing w:after="0" w:line="254" w:lineRule="exact"/>
        <w:rPr>
          <w:rFonts w:ascii="Arial" w:cs="Arial" w:eastAsia="Arial" w:hAnsi="Arial"/>
          <w:sz w:val="19"/>
          <w:szCs w:val="19"/>
          <w:color w:val="auto"/>
        </w:rPr>
      </w:pPr>
    </w:p>
    <w:p>
      <w:pPr>
        <w:ind w:left="320" w:hanging="231"/>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Full year 2024 net cash flows from operating activities totaled $14.4 billion, in-line with the prior year.</w:t>
      </w:r>
    </w:p>
    <w:p>
      <w:pPr>
        <w:spacing w:after="0" w:line="256" w:lineRule="exact"/>
        <w:rPr>
          <w:rFonts w:ascii="Arial" w:cs="Arial" w:eastAsia="Arial" w:hAnsi="Arial"/>
          <w:sz w:val="20"/>
          <w:szCs w:val="20"/>
          <w:color w:val="auto"/>
        </w:rPr>
      </w:pPr>
    </w:p>
    <w:p>
      <w:pPr>
        <w:jc w:val="both"/>
        <w:ind w:left="340" w:hanging="251"/>
        <w:spacing w:after="0" w:line="235"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Full year 2024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$4.3 billion increased from $3.5 billion in the prior year, primarily due to higher Adjusted EBITDA and a favorable change in working capital excluding mobile devices, partly offset by higher cash interest and a non-recurring item in the first quarter of 2024.</w:t>
      </w:r>
    </w:p>
    <w:p>
      <w:pPr>
        <w:spacing w:after="0" w:line="226" w:lineRule="exact"/>
        <w:rPr>
          <w:rFonts w:ascii="Arial" w:cs="Arial" w:eastAsia="Arial" w:hAnsi="Arial"/>
          <w:sz w:val="20"/>
          <w:szCs w:val="20"/>
          <w:color w:val="auto"/>
        </w:rPr>
      </w:pPr>
    </w:p>
    <w:p>
      <w:pPr>
        <w:ind w:left="340" w:hanging="251"/>
        <w:spacing w:after="0" w:line="271" w:lineRule="auto"/>
        <w:tabs>
          <w:tab w:leader="none" w:pos="328"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For the year ended December 31, 2024, Charter purchased 4.3 million shares of Charter Class A common stock and Charter Holdings common units for approximately $1.3 billion.</w:t>
      </w:r>
    </w:p>
    <w:p>
      <w:pPr>
        <w:spacing w:after="0" w:line="196" w:lineRule="exact"/>
        <w:rPr>
          <w:sz w:val="20"/>
          <w:szCs w:val="20"/>
          <w:color w:val="auto"/>
        </w:rPr>
      </w:pPr>
    </w:p>
    <w:p>
      <w:pPr>
        <w:jc w:val="both"/>
        <w:ind w:left="80" w:firstLine="648"/>
        <w:spacing w:after="0"/>
        <w:rPr>
          <w:sz w:val="20"/>
          <w:szCs w:val="20"/>
          <w:color w:val="auto"/>
        </w:rPr>
      </w:pPr>
      <w:r>
        <w:rPr>
          <w:rFonts w:ascii="Arial" w:cs="Arial" w:eastAsia="Arial" w:hAnsi="Arial"/>
          <w:sz w:val="20"/>
          <w:szCs w:val="20"/>
          <w:color w:val="auto"/>
        </w:rPr>
        <w:t>“Our multi-year investments in network evolution, expansion and execution are delivering tangible results,” said Chris Winfrey, President and CEO of Charter. “By having the best network, the best products and delivering customers the most value with unmatched service, we are well-positioned for customer and profitability growth and have clear visibility to free cash flow growth following this unique one-time investment cycle.”</w:t>
      </w:r>
    </w:p>
    <w:p>
      <w:pPr>
        <w:spacing w:after="0" w:line="200" w:lineRule="exact"/>
        <w:rPr>
          <w:sz w:val="20"/>
          <w:szCs w:val="20"/>
          <w:color w:val="auto"/>
        </w:rPr>
      </w:pPr>
    </w:p>
    <w:p>
      <w:pPr>
        <w:spacing w:after="0" w:line="269" w:lineRule="exact"/>
        <w:rPr>
          <w:sz w:val="20"/>
          <w:szCs w:val="20"/>
          <w:color w:val="auto"/>
        </w:rPr>
      </w:pPr>
    </w:p>
    <w:p>
      <w:pPr>
        <w:ind w:left="180" w:right="20" w:hanging="172"/>
        <w:spacing w:after="0" w:line="285" w:lineRule="auto"/>
        <w:tabs>
          <w:tab w:leader="none" w:pos="178"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EBITDA and free cash flow are non-GAAP measures defined in the “Use of Adjusted EBITDA and Free Cash Flow Information” section and are reconciled to net income attributable to Charter shareholders and net cash flows from operating activities, respectively, in the addendum of this news release.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Key Operating Results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jc w:val="right"/>
              <w:ind w:right="1068"/>
              <w:spacing w:after="0"/>
              <w:rPr>
                <w:sz w:val="20"/>
                <w:szCs w:val="20"/>
                <w:color w:val="auto"/>
              </w:rPr>
            </w:pPr>
            <w:r>
              <w:rPr>
                <w:rFonts w:ascii="Arial" w:cs="Arial" w:eastAsia="Arial" w:hAnsi="Arial"/>
                <w:sz w:val="14"/>
                <w:szCs w:val="14"/>
                <w:b w:val="1"/>
                <w:bCs w:val="1"/>
                <w:color w:val="auto"/>
              </w:rPr>
              <w:t>Approximate as of</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2024 (c)</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2023 (c)</w:t>
            </w:r>
          </w:p>
        </w:tc>
        <w:tc>
          <w:tcPr>
            <w:tcW w:w="80" w:type="dxa"/>
            <w:vAlign w:val="bottom"/>
          </w:tcPr>
          <w:p>
            <w:pPr>
              <w:spacing w:after="0"/>
              <w:rPr>
                <w:sz w:val="17"/>
                <w:szCs w:val="17"/>
                <w:color w:val="auto"/>
              </w:rPr>
            </w:pPr>
          </w:p>
        </w:tc>
        <w:tc>
          <w:tcPr>
            <w:tcW w:w="1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Y/Y Change</w:t>
            </w:r>
          </w:p>
        </w:tc>
        <w:tc>
          <w:tcPr>
            <w:tcW w:w="0" w:type="dxa"/>
            <w:vAlign w:val="bottom"/>
          </w:tcPr>
          <w:p>
            <w:pPr>
              <w:spacing w:after="0"/>
              <w:rPr>
                <w:sz w:val="1"/>
                <w:szCs w:val="1"/>
                <w:color w:val="auto"/>
              </w:rPr>
            </w:pPr>
          </w:p>
        </w:tc>
      </w:tr>
      <w:tr>
        <w:trPr>
          <w:trHeight w:val="18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Footprint</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restart"/>
          </w:tcPr>
          <w:p>
            <w:pPr>
              <w:jc w:val="right"/>
              <w:ind w:right="128"/>
              <w:spacing w:after="0"/>
              <w:rPr>
                <w:sz w:val="20"/>
                <w:szCs w:val="20"/>
                <w:color w:val="auto"/>
              </w:rPr>
            </w:pPr>
            <w:r>
              <w:rPr>
                <w:rFonts w:ascii="Arial" w:cs="Arial" w:eastAsia="Arial" w:hAnsi="Arial"/>
                <w:sz w:val="14"/>
                <w:szCs w:val="14"/>
                <w:color w:val="auto"/>
              </w:rPr>
              <w:t>56,861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restart"/>
          </w:tcPr>
          <w:p>
            <w:pPr>
              <w:jc w:val="right"/>
              <w:ind w:right="128"/>
              <w:spacing w:after="0"/>
              <w:rPr>
                <w:sz w:val="20"/>
                <w:szCs w:val="20"/>
                <w:color w:val="auto"/>
              </w:rPr>
            </w:pPr>
            <w:r>
              <w:rPr>
                <w:rFonts w:ascii="Arial" w:cs="Arial" w:eastAsia="Arial" w:hAnsi="Arial"/>
                <w:sz w:val="14"/>
                <w:szCs w:val="14"/>
                <w:color w:val="auto"/>
              </w:rPr>
              <w:t>55,322</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189"/>
        </w:trPr>
        <w:tc>
          <w:tcPr>
            <w:tcW w:w="5360" w:type="dxa"/>
            <w:vAlign w:val="bottom"/>
          </w:tcPr>
          <w:p>
            <w:pPr>
              <w:ind w:left="180"/>
              <w:spacing w:after="0"/>
              <w:rPr>
                <w:sz w:val="20"/>
                <w:szCs w:val="20"/>
                <w:color w:val="auto"/>
              </w:rPr>
            </w:pPr>
            <w:r>
              <w:rPr>
                <w:rFonts w:ascii="Arial" w:cs="Arial" w:eastAsia="Arial" w:hAnsi="Arial"/>
                <w:sz w:val="14"/>
                <w:szCs w:val="14"/>
                <w:color w:val="auto"/>
              </w:rPr>
              <w:t>Estimated Passings (d)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Customer Relationships (e)</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29,258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29,904</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4"/>
        </w:trPr>
        <w:tc>
          <w:tcPr>
            <w:tcW w:w="5360" w:type="dxa"/>
            <w:vAlign w:val="bottom"/>
          </w:tcPr>
          <w:p>
            <w:pPr>
              <w:ind w:left="180"/>
              <w:spacing w:after="0"/>
              <w:rPr>
                <w:sz w:val="20"/>
                <w:szCs w:val="20"/>
                <w:color w:val="auto"/>
              </w:rPr>
            </w:pPr>
            <w:r>
              <w:rPr>
                <w:rFonts w:ascii="Arial" w:cs="Arial" w:eastAsia="Arial" w:hAnsi="Arial"/>
                <w:sz w:val="14"/>
                <w:szCs w:val="14"/>
                <w:color w:val="auto"/>
              </w:rPr>
              <w:t>Small and Medium Business ("SMB")</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2,215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2,222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9"/>
        </w:trPr>
        <w:tc>
          <w:tcPr>
            <w:tcW w:w="5360" w:type="dxa"/>
            <w:vAlign w:val="bottom"/>
          </w:tcPr>
          <w:p>
            <w:pPr>
              <w:ind w:left="220"/>
              <w:spacing w:after="0"/>
              <w:rPr>
                <w:sz w:val="20"/>
                <w:szCs w:val="20"/>
                <w:color w:val="auto"/>
              </w:rPr>
            </w:pPr>
            <w:r>
              <w:rPr>
                <w:rFonts w:ascii="Arial" w:cs="Arial" w:eastAsia="Arial" w:hAnsi="Arial"/>
                <w:sz w:val="14"/>
                <w:szCs w:val="14"/>
                <w:color w:val="auto"/>
              </w:rPr>
              <w:t>Total Customer Relationships</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31,473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32,126</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32"/>
        </w:trPr>
        <w:tc>
          <w:tcPr>
            <w:tcW w:w="536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(108)</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4"/>
        </w:trPr>
        <w:tc>
          <w:tcPr>
            <w:tcW w:w="5360" w:type="dxa"/>
            <w:vAlign w:val="bottom"/>
          </w:tcPr>
          <w:p>
            <w:pPr>
              <w:ind w:left="180"/>
              <w:spacing w:after="0"/>
              <w:rPr>
                <w:sz w:val="20"/>
                <w:szCs w:val="20"/>
                <w:color w:val="auto"/>
              </w:rPr>
            </w:pPr>
            <w:r>
              <w:rPr>
                <w:rFonts w:ascii="Arial" w:cs="Arial" w:eastAsia="Arial" w:hAnsi="Arial"/>
                <w:sz w:val="14"/>
                <w:szCs w:val="14"/>
                <w:color w:val="auto"/>
              </w:rPr>
              <w:t>SMB</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9"/>
        </w:trPr>
        <w:tc>
          <w:tcPr>
            <w:tcW w:w="5360" w:type="dxa"/>
            <w:vAlign w:val="bottom"/>
          </w:tcPr>
          <w:p>
            <w:pPr>
              <w:ind w:left="220"/>
              <w:spacing w:after="0"/>
              <w:rPr>
                <w:sz w:val="20"/>
                <w:szCs w:val="20"/>
                <w:color w:val="auto"/>
              </w:rPr>
            </w:pPr>
            <w:r>
              <w:rPr>
                <w:rFonts w:ascii="Arial" w:cs="Arial" w:eastAsia="Arial" w:hAnsi="Arial"/>
                <w:sz w:val="14"/>
                <w:szCs w:val="14"/>
                <w:color w:val="auto"/>
              </w:rPr>
              <w:t>Total Customer Relationships Quarterly Net Additions</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(110)</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32"/>
        </w:trPr>
        <w:tc>
          <w:tcPr>
            <w:tcW w:w="5360" w:type="dxa"/>
            <w:vAlign w:val="bottom"/>
          </w:tcPr>
          <w:p>
            <w:pPr>
              <w:ind w:left="180"/>
              <w:spacing w:after="0"/>
              <w:rPr>
                <w:sz w:val="20"/>
                <w:szCs w:val="20"/>
                <w:color w:val="auto"/>
              </w:rPr>
            </w:pPr>
            <w:r>
              <w:rPr>
                <w:rFonts w:ascii="Arial" w:cs="Arial" w:eastAsia="Arial" w:hAnsi="Arial"/>
                <w:sz w:val="14"/>
                <w:szCs w:val="14"/>
                <w:color w:val="auto"/>
              </w:rPr>
              <w:t>Total Customer Relationship Penetration of Estimated Passings (f)</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55.4 %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58.1 %</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 ppts</w:t>
            </w:r>
          </w:p>
        </w:tc>
        <w:tc>
          <w:tcPr>
            <w:tcW w:w="0" w:type="dxa"/>
            <w:vAlign w:val="bottom"/>
          </w:tcPr>
          <w:p>
            <w:pPr>
              <w:spacing w:after="0"/>
              <w:rPr>
                <w:sz w:val="1"/>
                <w:szCs w:val="1"/>
                <w:color w:val="auto"/>
              </w:rPr>
            </w:pPr>
          </w:p>
        </w:tc>
      </w:tr>
      <w:tr>
        <w:trPr>
          <w:trHeight w:val="257"/>
        </w:trPr>
        <w:tc>
          <w:tcPr>
            <w:tcW w:w="5360" w:type="dxa"/>
            <w:vAlign w:val="bottom"/>
          </w:tcPr>
          <w:p>
            <w:pPr>
              <w:ind w:left="180"/>
              <w:spacing w:after="0"/>
              <w:rPr>
                <w:sz w:val="20"/>
                <w:szCs w:val="20"/>
                <w:color w:val="auto"/>
              </w:rPr>
            </w:pPr>
            <w:r>
              <w:rPr>
                <w:rFonts w:ascii="Arial" w:cs="Arial" w:eastAsia="Arial" w:hAnsi="Arial"/>
                <w:sz w:val="14"/>
                <w:szCs w:val="14"/>
                <w:color w:val="auto"/>
              </w:rPr>
              <w:t>Monthly Residential Revenue per Residential Customer (g)</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121.40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119.41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rPr>
                <w:sz w:val="20"/>
                <w:szCs w:val="20"/>
                <w:color w:val="auto"/>
              </w:rPr>
            </w:pPr>
            <w:r>
              <w:rPr>
                <w:rFonts w:ascii="Arial" w:cs="Arial" w:eastAsia="Arial" w:hAnsi="Arial"/>
                <w:sz w:val="14"/>
                <w:szCs w:val="14"/>
                <w:color w:val="auto"/>
              </w:rPr>
              <w:t>Monthly SMB Revenue per SMB Customer (h)</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163.14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162.38</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26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Residential Customer Relationships Penetration</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180"/>
              <w:spacing w:after="0"/>
              <w:rPr>
                <w:sz w:val="20"/>
                <w:szCs w:val="20"/>
                <w:color w:val="auto"/>
              </w:rPr>
            </w:pPr>
            <w:r>
              <w:rPr>
                <w:rFonts w:ascii="Arial" w:cs="Arial" w:eastAsia="Arial" w:hAnsi="Arial"/>
                <w:sz w:val="14"/>
                <w:szCs w:val="14"/>
                <w:color w:val="auto"/>
              </w:rPr>
              <w:t>One Product Penetration (i)</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47.6 %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46.7 %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0.9 ppts</w:t>
            </w: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rPr>
                <w:sz w:val="20"/>
                <w:szCs w:val="20"/>
                <w:color w:val="auto"/>
              </w:rPr>
            </w:pPr>
            <w:r>
              <w:rPr>
                <w:rFonts w:ascii="Arial" w:cs="Arial" w:eastAsia="Arial" w:hAnsi="Arial"/>
                <w:sz w:val="14"/>
                <w:szCs w:val="14"/>
                <w:color w:val="auto"/>
              </w:rPr>
              <w:t>Two Product Penetration (i)</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33.9 %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33.1 %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0.8 ppts</w:t>
            </w: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rPr>
                <w:sz w:val="20"/>
                <w:szCs w:val="20"/>
                <w:color w:val="auto"/>
              </w:rPr>
            </w:pPr>
            <w:r>
              <w:rPr>
                <w:rFonts w:ascii="Arial" w:cs="Arial" w:eastAsia="Arial" w:hAnsi="Arial"/>
                <w:sz w:val="14"/>
                <w:szCs w:val="14"/>
                <w:color w:val="auto"/>
              </w:rPr>
              <w:t>Three or More Product Penetration (i)</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18.5 %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20.2 %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 ppts</w:t>
            </w:r>
          </w:p>
        </w:tc>
        <w:tc>
          <w:tcPr>
            <w:tcW w:w="0" w:type="dxa"/>
            <w:vAlign w:val="bottom"/>
          </w:tcPr>
          <w:p>
            <w:pPr>
              <w:spacing w:after="0"/>
              <w:rPr>
                <w:sz w:val="1"/>
                <w:szCs w:val="1"/>
                <w:color w:val="auto"/>
              </w:rPr>
            </w:pPr>
          </w:p>
        </w:tc>
      </w:tr>
      <w:tr>
        <w:trPr>
          <w:trHeight w:val="257"/>
        </w:trPr>
        <w:tc>
          <w:tcPr>
            <w:tcW w:w="5360" w:type="dxa"/>
            <w:vAlign w:val="bottom"/>
          </w:tcPr>
          <w:p>
            <w:pPr>
              <w:ind w:left="180"/>
              <w:spacing w:after="0"/>
              <w:rPr>
                <w:sz w:val="20"/>
                <w:szCs w:val="20"/>
                <w:color w:val="auto"/>
              </w:rPr>
            </w:pPr>
            <w:r>
              <w:rPr>
                <w:rFonts w:ascii="Arial" w:cs="Arial" w:eastAsia="Arial" w:hAnsi="Arial"/>
                <w:sz w:val="14"/>
                <w:szCs w:val="14"/>
                <w:color w:val="auto"/>
              </w:rPr>
              <w:t>% Residential Non-Video Customer Relationships</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57.9 %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54.8 %</w:t>
            </w:r>
          </w:p>
        </w:tc>
        <w:tc>
          <w:tcPr>
            <w:tcW w:w="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 ppts</w:t>
            </w:r>
          </w:p>
        </w:tc>
        <w:tc>
          <w:tcPr>
            <w:tcW w:w="0" w:type="dxa"/>
            <w:vAlign w:val="bottom"/>
          </w:tcPr>
          <w:p>
            <w:pPr>
              <w:spacing w:after="0"/>
              <w:rPr>
                <w:sz w:val="1"/>
                <w:szCs w:val="1"/>
                <w:color w:val="auto"/>
              </w:rPr>
            </w:pPr>
          </w:p>
        </w:tc>
      </w:tr>
      <w:tr>
        <w:trPr>
          <w:trHeight w:val="26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Internet</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28,034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28,544</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4"/>
        </w:trPr>
        <w:tc>
          <w:tcPr>
            <w:tcW w:w="5360" w:type="dxa"/>
            <w:vAlign w:val="bottom"/>
          </w:tcPr>
          <w:p>
            <w:pPr>
              <w:ind w:left="180"/>
              <w:spacing w:after="0"/>
              <w:rPr>
                <w:sz w:val="20"/>
                <w:szCs w:val="20"/>
                <w:color w:val="auto"/>
              </w:rPr>
            </w:pPr>
            <w:r>
              <w:rPr>
                <w:rFonts w:ascii="Arial" w:cs="Arial" w:eastAsia="Arial" w:hAnsi="Arial"/>
                <w:sz w:val="14"/>
                <w:szCs w:val="14"/>
                <w:color w:val="auto"/>
              </w:rPr>
              <w:t>SMB</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2,046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2,044</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98"/>
        </w:trPr>
        <w:tc>
          <w:tcPr>
            <w:tcW w:w="5360" w:type="dxa"/>
            <w:vAlign w:val="bottom"/>
          </w:tcPr>
          <w:p>
            <w:pPr>
              <w:ind w:left="220"/>
              <w:spacing w:after="0"/>
              <w:rPr>
                <w:sz w:val="20"/>
                <w:szCs w:val="20"/>
                <w:color w:val="auto"/>
              </w:rPr>
            </w:pPr>
            <w:r>
              <w:rPr>
                <w:rFonts w:ascii="Arial" w:cs="Arial" w:eastAsia="Arial" w:hAnsi="Arial"/>
                <w:sz w:val="14"/>
                <w:szCs w:val="14"/>
                <w:color w:val="auto"/>
              </w:rPr>
              <w:t>Total Internet Customers</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30,080</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30,588</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33"/>
        </w:trPr>
        <w:tc>
          <w:tcPr>
            <w:tcW w:w="536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(62)</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4"/>
        </w:trPr>
        <w:tc>
          <w:tcPr>
            <w:tcW w:w="5360" w:type="dxa"/>
            <w:vAlign w:val="bottom"/>
          </w:tcPr>
          <w:p>
            <w:pPr>
              <w:ind w:left="180"/>
              <w:spacing w:after="0"/>
              <w:rPr>
                <w:sz w:val="20"/>
                <w:szCs w:val="20"/>
                <w:color w:val="auto"/>
              </w:rPr>
            </w:pPr>
            <w:r>
              <w:rPr>
                <w:rFonts w:ascii="Arial" w:cs="Arial" w:eastAsia="Arial" w:hAnsi="Arial"/>
                <w:sz w:val="14"/>
                <w:szCs w:val="14"/>
                <w:color w:val="auto"/>
              </w:rPr>
              <w:t>SMB</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5360" w:type="dxa"/>
            <w:vAlign w:val="bottom"/>
          </w:tcPr>
          <w:p>
            <w:pPr>
              <w:ind w:left="220"/>
              <w:spacing w:after="0"/>
              <w:rPr>
                <w:sz w:val="20"/>
                <w:szCs w:val="20"/>
                <w:color w:val="auto"/>
              </w:rPr>
            </w:pPr>
            <w:r>
              <w:rPr>
                <w:rFonts w:ascii="Arial" w:cs="Arial" w:eastAsia="Arial" w:hAnsi="Arial"/>
                <w:sz w:val="14"/>
                <w:szCs w:val="14"/>
                <w:color w:val="auto"/>
              </w:rPr>
              <w:t>Total Internet Quarterly Net Additions</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41"/>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Video</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12,327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13,503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4"/>
        </w:trPr>
        <w:tc>
          <w:tcPr>
            <w:tcW w:w="5360" w:type="dxa"/>
            <w:vAlign w:val="bottom"/>
          </w:tcPr>
          <w:p>
            <w:pPr>
              <w:ind w:left="180"/>
              <w:spacing w:after="0"/>
              <w:rPr>
                <w:sz w:val="20"/>
                <w:szCs w:val="20"/>
                <w:color w:val="auto"/>
              </w:rPr>
            </w:pPr>
            <w:r>
              <w:rPr>
                <w:rFonts w:ascii="Arial" w:cs="Arial" w:eastAsia="Arial" w:hAnsi="Arial"/>
                <w:sz w:val="14"/>
                <w:szCs w:val="14"/>
                <w:color w:val="auto"/>
              </w:rPr>
              <w:t>SMB</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619</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8"/>
        </w:trPr>
        <w:tc>
          <w:tcPr>
            <w:tcW w:w="5360" w:type="dxa"/>
            <w:vAlign w:val="bottom"/>
          </w:tcPr>
          <w:p>
            <w:pPr>
              <w:ind w:left="220"/>
              <w:spacing w:after="0"/>
              <w:rPr>
                <w:sz w:val="20"/>
                <w:szCs w:val="20"/>
                <w:color w:val="auto"/>
              </w:rPr>
            </w:pPr>
            <w:r>
              <w:rPr>
                <w:rFonts w:ascii="Arial" w:cs="Arial" w:eastAsia="Arial" w:hAnsi="Arial"/>
                <w:sz w:val="14"/>
                <w:szCs w:val="14"/>
                <w:color w:val="auto"/>
              </w:rPr>
              <w:t>Total Video Customers</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12,892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14,122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32"/>
        </w:trPr>
        <w:tc>
          <w:tcPr>
            <w:tcW w:w="536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(248)</w:t>
            </w:r>
          </w:p>
        </w:tc>
        <w:tc>
          <w:tcPr>
            <w:tcW w:w="1520" w:type="dxa"/>
            <w:vAlign w:val="bottom"/>
            <w:gridSpan w:val="2"/>
          </w:tcPr>
          <w:p>
            <w:pPr>
              <w:jc w:val="right"/>
              <w:ind w:right="10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4"/>
        </w:trPr>
        <w:tc>
          <w:tcPr>
            <w:tcW w:w="5360" w:type="dxa"/>
            <w:vAlign w:val="bottom"/>
          </w:tcPr>
          <w:p>
            <w:pPr>
              <w:ind w:left="180"/>
              <w:spacing w:after="0"/>
              <w:rPr>
                <w:sz w:val="20"/>
                <w:szCs w:val="20"/>
                <w:color w:val="auto"/>
              </w:rPr>
            </w:pPr>
            <w:r>
              <w:rPr>
                <w:rFonts w:ascii="Arial" w:cs="Arial" w:eastAsia="Arial" w:hAnsi="Arial"/>
                <w:sz w:val="14"/>
                <w:szCs w:val="14"/>
                <w:color w:val="auto"/>
              </w:rPr>
              <w:t>SMB</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5360" w:type="dxa"/>
            <w:vAlign w:val="bottom"/>
          </w:tcPr>
          <w:p>
            <w:pPr>
              <w:ind w:left="220"/>
              <w:spacing w:after="0"/>
              <w:rPr>
                <w:sz w:val="20"/>
                <w:szCs w:val="20"/>
                <w:color w:val="auto"/>
              </w:rPr>
            </w:pPr>
            <w:r>
              <w:rPr>
                <w:rFonts w:ascii="Arial" w:cs="Arial" w:eastAsia="Arial" w:hAnsi="Arial"/>
                <w:sz w:val="14"/>
                <w:szCs w:val="14"/>
                <w:color w:val="auto"/>
              </w:rPr>
              <w:t>Total Video Quarterly Net Additions</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(257)</w:t>
            </w:r>
          </w:p>
        </w:tc>
        <w:tc>
          <w:tcPr>
            <w:tcW w:w="1520" w:type="dxa"/>
            <w:vAlign w:val="bottom"/>
            <w:gridSpan w:val="2"/>
          </w:tcPr>
          <w:p>
            <w:pPr>
              <w:jc w:val="right"/>
              <w:ind w:right="10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41"/>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Mobile Lines (j)</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9,568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7,519</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27.3 %</w:t>
            </w:r>
          </w:p>
        </w:tc>
        <w:tc>
          <w:tcPr>
            <w:tcW w:w="0" w:type="dxa"/>
            <w:vAlign w:val="bottom"/>
          </w:tcPr>
          <w:p>
            <w:pPr>
              <w:spacing w:after="0"/>
              <w:rPr>
                <w:sz w:val="1"/>
                <w:szCs w:val="1"/>
                <w:color w:val="auto"/>
              </w:rPr>
            </w:pPr>
          </w:p>
        </w:tc>
      </w:tr>
      <w:tr>
        <w:trPr>
          <w:trHeight w:val="204"/>
        </w:trPr>
        <w:tc>
          <w:tcPr>
            <w:tcW w:w="5360" w:type="dxa"/>
            <w:vAlign w:val="bottom"/>
          </w:tcPr>
          <w:p>
            <w:pPr>
              <w:ind w:left="180"/>
              <w:spacing w:after="0"/>
              <w:rPr>
                <w:sz w:val="20"/>
                <w:szCs w:val="20"/>
                <w:color w:val="auto"/>
              </w:rPr>
            </w:pPr>
            <w:r>
              <w:rPr>
                <w:rFonts w:ascii="Arial" w:cs="Arial" w:eastAsia="Arial" w:hAnsi="Arial"/>
                <w:sz w:val="14"/>
                <w:szCs w:val="14"/>
                <w:color w:val="auto"/>
              </w:rPr>
              <w:t>SMB</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247</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27.7 %</w:t>
            </w:r>
          </w:p>
        </w:tc>
        <w:tc>
          <w:tcPr>
            <w:tcW w:w="0" w:type="dxa"/>
            <w:vAlign w:val="bottom"/>
          </w:tcPr>
          <w:p>
            <w:pPr>
              <w:spacing w:after="0"/>
              <w:rPr>
                <w:sz w:val="1"/>
                <w:szCs w:val="1"/>
                <w:color w:val="auto"/>
              </w:rPr>
            </w:pPr>
          </w:p>
        </w:tc>
      </w:tr>
      <w:tr>
        <w:trPr>
          <w:trHeight w:val="198"/>
        </w:trPr>
        <w:tc>
          <w:tcPr>
            <w:tcW w:w="5360" w:type="dxa"/>
            <w:vAlign w:val="bottom"/>
          </w:tcPr>
          <w:p>
            <w:pPr>
              <w:ind w:left="220"/>
              <w:spacing w:after="0"/>
              <w:rPr>
                <w:sz w:val="20"/>
                <w:szCs w:val="20"/>
                <w:color w:val="auto"/>
              </w:rPr>
            </w:pPr>
            <w:r>
              <w:rPr>
                <w:rFonts w:ascii="Arial" w:cs="Arial" w:eastAsia="Arial" w:hAnsi="Arial"/>
                <w:sz w:val="14"/>
                <w:szCs w:val="14"/>
                <w:color w:val="auto"/>
              </w:rPr>
              <w:t>Total Mobile Lines</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9,883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7,766</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27.3 %</w:t>
            </w:r>
          </w:p>
        </w:tc>
        <w:tc>
          <w:tcPr>
            <w:tcW w:w="0" w:type="dxa"/>
            <w:vAlign w:val="bottom"/>
          </w:tcPr>
          <w:p>
            <w:pPr>
              <w:spacing w:after="0"/>
              <w:rPr>
                <w:sz w:val="1"/>
                <w:szCs w:val="1"/>
                <w:color w:val="auto"/>
              </w:rPr>
            </w:pPr>
          </w:p>
        </w:tc>
      </w:tr>
      <w:tr>
        <w:trPr>
          <w:trHeight w:val="233"/>
        </w:trPr>
        <w:tc>
          <w:tcPr>
            <w:tcW w:w="536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532</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4"/>
        </w:trPr>
        <w:tc>
          <w:tcPr>
            <w:tcW w:w="5360" w:type="dxa"/>
            <w:vAlign w:val="bottom"/>
          </w:tcPr>
          <w:p>
            <w:pPr>
              <w:ind w:left="180"/>
              <w:spacing w:after="0"/>
              <w:rPr>
                <w:sz w:val="20"/>
                <w:szCs w:val="20"/>
                <w:color w:val="auto"/>
              </w:rPr>
            </w:pPr>
            <w:r>
              <w:rPr>
                <w:rFonts w:ascii="Arial" w:cs="Arial" w:eastAsia="Arial" w:hAnsi="Arial"/>
                <w:sz w:val="14"/>
                <w:szCs w:val="14"/>
                <w:color w:val="auto"/>
              </w:rPr>
              <w:t>SMB</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w:t>
            </w:r>
          </w:p>
        </w:tc>
        <w:tc>
          <w:tcPr>
            <w:tcW w:w="1520" w:type="dxa"/>
            <w:vAlign w:val="bottom"/>
            <w:gridSpan w:val="2"/>
          </w:tcPr>
          <w:p>
            <w:pPr>
              <w:jc w:val="right"/>
              <w:ind w:right="10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5360" w:type="dxa"/>
            <w:vAlign w:val="bottom"/>
          </w:tcPr>
          <w:p>
            <w:pPr>
              <w:ind w:left="220"/>
              <w:spacing w:after="0"/>
              <w:rPr>
                <w:sz w:val="20"/>
                <w:szCs w:val="20"/>
                <w:color w:val="auto"/>
              </w:rPr>
            </w:pPr>
            <w:r>
              <w:rPr>
                <w:rFonts w:ascii="Arial" w:cs="Arial" w:eastAsia="Arial" w:hAnsi="Arial"/>
                <w:sz w:val="14"/>
                <w:szCs w:val="14"/>
                <w:color w:val="auto"/>
              </w:rPr>
              <w:t>Total Mobile Lines Quarterly Net Additions</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546</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41"/>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Voice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5,636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6,712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4"/>
        </w:trPr>
        <w:tc>
          <w:tcPr>
            <w:tcW w:w="5360" w:type="dxa"/>
            <w:vAlign w:val="bottom"/>
          </w:tcPr>
          <w:p>
            <w:pPr>
              <w:ind w:left="180"/>
              <w:spacing w:after="0"/>
              <w:rPr>
                <w:sz w:val="20"/>
                <w:szCs w:val="20"/>
                <w:color w:val="auto"/>
              </w:rPr>
            </w:pPr>
            <w:r>
              <w:rPr>
                <w:rFonts w:ascii="Arial" w:cs="Arial" w:eastAsia="Arial" w:hAnsi="Arial"/>
                <w:sz w:val="14"/>
                <w:szCs w:val="14"/>
                <w:color w:val="auto"/>
              </w:rPr>
              <w:t>SMB</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1,293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8"/>
        </w:trPr>
        <w:tc>
          <w:tcPr>
            <w:tcW w:w="5360" w:type="dxa"/>
            <w:vAlign w:val="bottom"/>
          </w:tcPr>
          <w:p>
            <w:pPr>
              <w:ind w:left="220"/>
              <w:spacing w:after="0"/>
              <w:rPr>
                <w:sz w:val="20"/>
                <w:szCs w:val="20"/>
                <w:color w:val="auto"/>
              </w:rPr>
            </w:pPr>
            <w:r>
              <w:rPr>
                <w:rFonts w:ascii="Arial" w:cs="Arial" w:eastAsia="Arial" w:hAnsi="Arial"/>
                <w:sz w:val="14"/>
                <w:szCs w:val="14"/>
                <w:color w:val="auto"/>
              </w:rPr>
              <w:t>Total Voice Customers</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6,884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8,005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33"/>
        </w:trPr>
        <w:tc>
          <w:tcPr>
            <w:tcW w:w="536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(248)</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4"/>
        </w:trPr>
        <w:tc>
          <w:tcPr>
            <w:tcW w:w="5360" w:type="dxa"/>
            <w:vAlign w:val="bottom"/>
          </w:tcPr>
          <w:p>
            <w:pPr>
              <w:ind w:left="180"/>
              <w:spacing w:after="0"/>
              <w:rPr>
                <w:sz w:val="20"/>
                <w:szCs w:val="20"/>
                <w:color w:val="auto"/>
              </w:rPr>
            </w:pPr>
            <w:r>
              <w:rPr>
                <w:rFonts w:ascii="Arial" w:cs="Arial" w:eastAsia="Arial" w:hAnsi="Arial"/>
                <w:sz w:val="14"/>
                <w:szCs w:val="14"/>
                <w:color w:val="auto"/>
              </w:rPr>
              <w:t>SMB</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6"/>
        </w:trPr>
        <w:tc>
          <w:tcPr>
            <w:tcW w:w="5360" w:type="dxa"/>
            <w:vAlign w:val="bottom"/>
          </w:tcPr>
          <w:p>
            <w:pPr>
              <w:ind w:left="220"/>
              <w:spacing w:after="0"/>
              <w:rPr>
                <w:sz w:val="20"/>
                <w:szCs w:val="20"/>
                <w:color w:val="auto"/>
              </w:rPr>
            </w:pPr>
            <w:r>
              <w:rPr>
                <w:rFonts w:ascii="Arial" w:cs="Arial" w:eastAsia="Arial" w:hAnsi="Arial"/>
                <w:sz w:val="14"/>
                <w:szCs w:val="14"/>
                <w:color w:val="auto"/>
              </w:rPr>
              <w:t>Total Voice Quarterly Net Additions</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(251)</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41"/>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Enterprise (k)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180"/>
              <w:spacing w:after="0"/>
              <w:rPr>
                <w:sz w:val="20"/>
                <w:szCs w:val="20"/>
                <w:color w:val="auto"/>
              </w:rPr>
            </w:pPr>
            <w:r>
              <w:rPr>
                <w:rFonts w:ascii="Arial" w:cs="Arial" w:eastAsia="Arial" w:hAnsi="Arial"/>
                <w:sz w:val="14"/>
                <w:szCs w:val="14"/>
                <w:color w:val="auto"/>
              </w:rPr>
              <w:t>Enterprise Primary Service Units ("PSUs")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303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rPr>
                <w:sz w:val="20"/>
                <w:szCs w:val="20"/>
                <w:color w:val="auto"/>
              </w:rPr>
            </w:pPr>
            <w:r>
              <w:rPr>
                <w:rFonts w:ascii="Arial" w:cs="Arial" w:eastAsia="Arial" w:hAnsi="Arial"/>
                <w:sz w:val="14"/>
                <w:szCs w:val="14"/>
                <w:color w:val="auto"/>
              </w:rPr>
              <w:t>Enterprise Quarterly Net Additions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In thousands, except per customer and penetration data. See footnotes to unaudited summary of operating statistics on page 7 of the addendum of this news release. The footnotes contain important disclosures regarding the definitions used for these operating statistics. All percentages are calculated using whole numbers. Minor differences may exist due to rounding.</w:t>
      </w:r>
    </w:p>
    <w:p>
      <w:pPr>
        <w:sectPr>
          <w:pgSz w:w="11900" w:h="16838" w:orient="portrait"/>
          <w:cols w:equalWidth="0" w:num="1">
            <w:col w:w="11240"/>
          </w:cols>
          <w:pgMar w:left="320" w:top="933"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933" w:right="339" w:bottom="1440" w:gutter="0" w:footer="0" w:header="0"/>
          <w:type w:val="continuous"/>
        </w:sectPr>
      </w:pPr>
    </w:p>
    <w:bookmarkStart w:id="6" w:name="page7"/>
    <w:bookmarkEnd w:id="6"/>
    <w:p>
      <w:pPr>
        <w:jc w:val="both"/>
        <w:ind w:firstLine="648"/>
        <w:spacing w:after="0" w:line="254" w:lineRule="auto"/>
        <w:rPr>
          <w:sz w:val="20"/>
          <w:szCs w:val="20"/>
          <w:color w:val="auto"/>
        </w:rPr>
      </w:pPr>
      <w:r>
        <w:rPr>
          <w:rFonts w:ascii="Arial" w:cs="Arial" w:eastAsia="Arial" w:hAnsi="Arial"/>
          <w:sz w:val="20"/>
          <w:szCs w:val="20"/>
          <w:color w:val="auto"/>
        </w:rPr>
        <w:t xml:space="preserve">In September, Spectrum launched a new brand platform, </w:t>
      </w:r>
      <w:r>
        <w:rPr>
          <w:rFonts w:ascii="Arial" w:cs="Arial" w:eastAsia="Arial" w:hAnsi="Arial"/>
          <w:sz w:val="20"/>
          <w:szCs w:val="20"/>
          <w:i w:val="1"/>
          <w:iCs w:val="1"/>
          <w:color w:val="auto"/>
        </w:rPr>
        <w:t>Life Unlimited</w:t>
      </w:r>
      <w:r>
        <w:rPr>
          <w:rFonts w:ascii="Arial" w:cs="Arial" w:eastAsia="Arial" w:hAnsi="Arial"/>
          <w:sz w:val="20"/>
          <w:szCs w:val="20"/>
          <w:color w:val="auto"/>
        </w:rPr>
        <w:t>, which emphasizes the power of Spectrum’s advanced network and cutting-edge connectivity products and services to create opportunities and remove barriers to help customers live their best lives. As part of its new brand platform, Spectrum launched a new and simplified pricing and packaging strategy that better utilizes its seamless connectivity and entertainment products to offer lower promotional and persistent bundled pricing to drive growth. Additionally, Spectrum announced new customer commitments focused on reliable connectivity, transparency, exceptional service and a focus on always improving.</w:t>
      </w:r>
    </w:p>
    <w:p>
      <w:pPr>
        <w:spacing w:after="0" w:line="21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Fourth quarter total Internet customers decreased by 177,000, primarily driven by the end of the FCC's Affordable Connectivity Program ("ACP") in the second quarter and impacts of hurricanes in the fourth quarter, compared to a decline of 61,000 during the fourth quarter of 2023. </w:t>
      </w:r>
      <w:r>
        <w:rPr>
          <w:rFonts w:ascii="Arial" w:cs="Arial" w:eastAsia="Arial" w:hAnsi="Arial"/>
          <w:sz w:val="20"/>
          <w:szCs w:val="20"/>
          <w:i w:val="1"/>
          <w:iCs w:val="1"/>
          <w:color w:val="auto"/>
        </w:rPr>
        <w:t>Spectrum Internet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delivers the fastest Internet speeds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in the nation. Spectrum is evolving its connectivity network to offer symmetrical and multi-gigabit Internet speeds across its entire footprint and has launched symmetrical Internet service in eight markets. In January 2025, Spectrum launched 2x1 Gbps service in two markets. Unlike competitors, Spectrum upgrades its network for all households and can do so at a much lower cost. Spectrum Advanced WiFi, a managed WiFi service that provides customers an optimized home network while providing greater control of connected devices with enhanced security and privacy, is available to all Spectrum Internet customers.</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Total video customers decreased by 123,000 in the fourth quarter of 2024, compared to a decline of 257,000 in the fourth quarter of 2023, with the improvement driven by new and simplified pricing and packaging launched in September. As of December 31, 2024, Charter had 12.9 million total video customers. Spectrum TV Select video customers will soon receive up to approximately $80 per month of programmers' streaming application retail value at no extra cost, including the ad-supported versions of Max, Disney+, Peacock, Paramount+, ESPN+, AMC+, Discovery+, BET+, ViX, and Tennis Channel Plus. This programmer streaming application inclusion is part of Charter's broader video evolution strategy to provide flexible packages with enhanced value, whether through full packages with seamless entertainment, smaller video packages, or a suite of a-la-carte programmer application options for broadband-only customers.</w:t>
      </w:r>
    </w:p>
    <w:p>
      <w:pPr>
        <w:spacing w:after="0" w:line="21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 xml:space="preserve">During the fourth quarter of 2024, Charter added 529,000 total mobile lines, compared to growth of 546,000 during the fourth quarter of 2023. </w:t>
      </w:r>
      <w:r>
        <w:rPr>
          <w:rFonts w:ascii="Arial" w:cs="Arial" w:eastAsia="Arial" w:hAnsi="Arial"/>
          <w:sz w:val="20"/>
          <w:szCs w:val="20"/>
          <w:i w:val="1"/>
          <w:iCs w:val="1"/>
          <w:color w:val="auto"/>
        </w:rPr>
        <w:t>Spectrum Mobile</w:t>
      </w:r>
      <w:r>
        <w:rPr>
          <w:rFonts w:ascii="Arial" w:cs="Arial" w:eastAsia="Arial" w:hAnsi="Arial"/>
          <w:sz w:val="9"/>
          <w:szCs w:val="9"/>
          <w:color w:val="auto"/>
        </w:rPr>
        <w:t>TM</w:t>
      </w:r>
      <w:r>
        <w:rPr>
          <w:rFonts w:ascii="Arial" w:cs="Arial" w:eastAsia="Arial" w:hAnsi="Arial"/>
          <w:sz w:val="20"/>
          <w:szCs w:val="20"/>
          <w:color w:val="auto"/>
        </w:rPr>
        <w:t xml:space="preserve"> is available to all new and existing </w:t>
      </w:r>
      <w:r>
        <w:rPr>
          <w:rFonts w:ascii="Arial" w:cs="Arial" w:eastAsia="Arial" w:hAnsi="Arial"/>
          <w:sz w:val="20"/>
          <w:szCs w:val="20"/>
          <w:i w:val="1"/>
          <w:iCs w:val="1"/>
          <w:color w:val="auto"/>
        </w:rPr>
        <w:t>Spectrum Internet</w:t>
      </w:r>
      <w:r>
        <w:rPr>
          <w:rFonts w:ascii="Arial" w:cs="Arial" w:eastAsia="Arial" w:hAnsi="Arial"/>
          <w:sz w:val="20"/>
          <w:szCs w:val="20"/>
          <w:color w:val="auto"/>
        </w:rPr>
        <w:t xml:space="preserve"> customers and offers the fastest overall speeds,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with plans that include 5G access, do not require contracts and include taxes and fees in the price. </w:t>
      </w:r>
      <w:r>
        <w:rPr>
          <w:rFonts w:ascii="Arial" w:cs="Arial" w:eastAsia="Arial" w:hAnsi="Arial"/>
          <w:sz w:val="20"/>
          <w:szCs w:val="20"/>
          <w:i w:val="1"/>
          <w:iCs w:val="1"/>
          <w:color w:val="auto"/>
        </w:rPr>
        <w:t>Spectrum</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Mobile </w:t>
      </w:r>
      <w:r>
        <w:rPr>
          <w:rFonts w:ascii="Arial" w:cs="Arial" w:eastAsia="Arial" w:hAnsi="Arial"/>
          <w:sz w:val="20"/>
          <w:szCs w:val="20"/>
          <w:color w:val="auto"/>
        </w:rPr>
        <w:t>is central to Charter's converged network strategy to provide consumers a differentiated connectivity experience with</w:t>
      </w:r>
      <w:r>
        <w:rPr>
          <w:rFonts w:ascii="Arial" w:cs="Arial" w:eastAsia="Arial" w:hAnsi="Arial"/>
          <w:sz w:val="20"/>
          <w:szCs w:val="20"/>
          <w:i w:val="1"/>
          <w:iCs w:val="1"/>
          <w:color w:val="auto"/>
        </w:rPr>
        <w:t xml:space="preserve"> </w:t>
      </w:r>
      <w:r>
        <w:rPr>
          <w:rFonts w:ascii="Arial" w:cs="Arial" w:eastAsia="Arial" w:hAnsi="Arial"/>
          <w:sz w:val="20"/>
          <w:szCs w:val="20"/>
          <w:color w:val="auto"/>
        </w:rPr>
        <w:t>highly competitive, simple data plans and pricing.</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During the fourth quarter of 2024, total wireline voice customers declined by 274,000, compared to a decline of 251,000 in the fourth quarter of 2023. As of December 31, 2024, Charter had 6.9 million total wireline voice customers.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Charter continues to work with federal, state and local governments to bring </w:t>
      </w:r>
      <w:r>
        <w:rPr>
          <w:rFonts w:ascii="Arial" w:cs="Arial" w:eastAsia="Arial" w:hAnsi="Arial"/>
          <w:sz w:val="20"/>
          <w:szCs w:val="20"/>
          <w:i w:val="1"/>
          <w:iCs w:val="1"/>
          <w:color w:val="auto"/>
        </w:rPr>
        <w:t>Spectrum Internet</w:t>
      </w:r>
      <w:r>
        <w:rPr>
          <w:rFonts w:ascii="Arial" w:cs="Arial" w:eastAsia="Arial" w:hAnsi="Arial"/>
          <w:sz w:val="20"/>
          <w:szCs w:val="20"/>
          <w:color w:val="auto"/>
        </w:rPr>
        <w:t xml:space="preserve"> to unserved and underserved communities. During the fourth quarter of 2024, Charter activated 117,000 subsidized rural passings and 393,000 in 2024. Within Charter's subsidized rural footprint, total customer relationships increased by 41,000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hanging="172"/>
        <w:spacing w:after="0" w:line="261" w:lineRule="auto"/>
        <w:tabs>
          <w:tab w:leader="none" w:pos="178"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Based on Broadband Download Speed nationally in Opensignal USA: Fixed Broadband Experience Report – National View, May 2024. Based on Opensignal independent analysis of mean download speed. © 2025 Opensignal Limited.</w:t>
      </w:r>
    </w:p>
    <w:p>
      <w:pPr>
        <w:spacing w:after="0" w:line="1" w:lineRule="exact"/>
        <w:rPr>
          <w:rFonts w:ascii="Arial" w:cs="Arial" w:eastAsia="Arial" w:hAnsi="Arial"/>
          <w:sz w:val="14"/>
          <w:szCs w:val="14"/>
          <w:color w:val="auto"/>
        </w:rPr>
      </w:pPr>
    </w:p>
    <w:p>
      <w:pPr>
        <w:ind w:left="160" w:hanging="152"/>
        <w:spacing w:after="0"/>
        <w:tabs>
          <w:tab w:leader="none" w:pos="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Based on Charter’s analysis of Ookla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Speedtest Intelligence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data for overall mobile WiFi and Cellular performance for 1Q24 in Charter’s footprint.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2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i w:val="1"/>
          <w:iCs w:val="1"/>
          <w:color w:val="auto"/>
        </w:rPr>
        <w:t>Fourth Quarter Financial Results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7"/>
        </w:trPr>
        <w:tc>
          <w:tcPr>
            <w:tcW w:w="7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6"/>
          </w:tcPr>
          <w:p>
            <w:pPr>
              <w:jc w:val="right"/>
              <w:ind w:right="608"/>
              <w:spacing w:after="0"/>
              <w:rPr>
                <w:sz w:val="20"/>
                <w:szCs w:val="20"/>
                <w:color w:val="auto"/>
              </w:rPr>
            </w:pPr>
            <w:r>
              <w:rPr>
                <w:rFonts w:ascii="Arial" w:cs="Arial" w:eastAsia="Arial" w:hAnsi="Arial"/>
                <w:sz w:val="14"/>
                <w:szCs w:val="14"/>
                <w:b w:val="1"/>
                <w:bCs w:val="1"/>
                <w:color w:val="auto"/>
              </w:rPr>
              <w:t>Three Months Ended December 31,</w:t>
            </w:r>
          </w:p>
        </w:tc>
      </w:tr>
      <w:tr>
        <w:trPr>
          <w:trHeight w:val="195"/>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r>
      <w:tr>
        <w:trPr>
          <w:trHeight w:val="177"/>
        </w:trPr>
        <w:tc>
          <w:tcPr>
            <w:tcW w:w="7480" w:type="dxa"/>
            <w:vAlign w:val="bottom"/>
          </w:tcPr>
          <w:p>
            <w:pPr>
              <w:ind w:left="40"/>
              <w:spacing w:after="0"/>
              <w:rPr>
                <w:sz w:val="20"/>
                <w:szCs w:val="20"/>
                <w:color w:val="auto"/>
              </w:rPr>
            </w:pPr>
            <w:r>
              <w:rPr>
                <w:rFonts w:ascii="Arial" w:cs="Arial" w:eastAsia="Arial" w:hAnsi="Arial"/>
                <w:sz w:val="14"/>
                <w:szCs w:val="14"/>
                <w:color w:val="auto"/>
              </w:rPr>
              <w:t>Revenues: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7480" w:type="dxa"/>
            <w:vAlign w:val="bottom"/>
          </w:tcPr>
          <w:p>
            <w:pPr>
              <w:ind w:left="280"/>
              <w:spacing w:after="0"/>
              <w:rPr>
                <w:sz w:val="20"/>
                <w:szCs w:val="20"/>
                <w:color w:val="auto"/>
              </w:rPr>
            </w:pPr>
            <w:r>
              <w:rPr>
                <w:rFonts w:ascii="Arial" w:cs="Arial" w:eastAsia="Arial" w:hAnsi="Arial"/>
                <w:sz w:val="14"/>
                <w:szCs w:val="14"/>
                <w:color w:val="auto"/>
              </w:rPr>
              <w:t>Internet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5,856</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5,805</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0.9 %</w:t>
            </w:r>
          </w:p>
        </w:tc>
      </w:tr>
      <w:tr>
        <w:trPr>
          <w:trHeight w:val="203"/>
        </w:trPr>
        <w:tc>
          <w:tcPr>
            <w:tcW w:w="7480" w:type="dxa"/>
            <w:vAlign w:val="bottom"/>
          </w:tcPr>
          <w:p>
            <w:pPr>
              <w:ind w:left="280"/>
              <w:spacing w:after="0"/>
              <w:rPr>
                <w:sz w:val="20"/>
                <w:szCs w:val="20"/>
                <w:color w:val="auto"/>
              </w:rPr>
            </w:pPr>
            <w:r>
              <w:rPr>
                <w:rFonts w:ascii="Arial" w:cs="Arial" w:eastAsia="Arial" w:hAnsi="Arial"/>
                <w:sz w:val="14"/>
                <w:szCs w:val="14"/>
                <w:color w:val="auto"/>
              </w:rPr>
              <w:t>Video</w:t>
            </w: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3,616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3,905</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(7.4)%</w:t>
            </w:r>
          </w:p>
        </w:tc>
      </w:tr>
      <w:tr>
        <w:trPr>
          <w:trHeight w:val="203"/>
        </w:trPr>
        <w:tc>
          <w:tcPr>
            <w:tcW w:w="7480" w:type="dxa"/>
            <w:vAlign w:val="bottom"/>
          </w:tcPr>
          <w:p>
            <w:pPr>
              <w:ind w:left="280"/>
              <w:spacing w:after="0"/>
              <w:rPr>
                <w:sz w:val="20"/>
                <w:szCs w:val="20"/>
                <w:color w:val="auto"/>
              </w:rPr>
            </w:pPr>
            <w:r>
              <w:rPr>
                <w:rFonts w:ascii="Arial" w:cs="Arial" w:eastAsia="Arial" w:hAnsi="Arial"/>
                <w:sz w:val="14"/>
                <w:szCs w:val="14"/>
                <w:color w:val="auto"/>
              </w:rPr>
              <w:t>Mobile service</w:t>
            </w: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626</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37.4 %</w:t>
            </w:r>
          </w:p>
        </w:tc>
      </w:tr>
      <w:tr>
        <w:trPr>
          <w:trHeight w:val="204"/>
        </w:trPr>
        <w:tc>
          <w:tcPr>
            <w:tcW w:w="7480" w:type="dxa"/>
            <w:vAlign w:val="bottom"/>
          </w:tcPr>
          <w:p>
            <w:pPr>
              <w:ind w:left="280"/>
              <w:spacing w:after="0"/>
              <w:rPr>
                <w:sz w:val="20"/>
                <w:szCs w:val="20"/>
                <w:color w:val="auto"/>
              </w:rPr>
            </w:pPr>
            <w:r>
              <w:rPr>
                <w:rFonts w:ascii="Arial" w:cs="Arial" w:eastAsia="Arial" w:hAnsi="Arial"/>
                <w:sz w:val="14"/>
                <w:szCs w:val="14"/>
                <w:color w:val="auto"/>
              </w:rPr>
              <w:t>Voice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393</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(10.4)%</w:t>
            </w:r>
          </w:p>
        </w:tc>
      </w:tr>
      <w:tr>
        <w:trPr>
          <w:trHeight w:val="194"/>
        </w:trPr>
        <w:tc>
          <w:tcPr>
            <w:tcW w:w="7480" w:type="dxa"/>
            <w:vAlign w:val="bottom"/>
          </w:tcPr>
          <w:p>
            <w:pPr>
              <w:ind w:left="420"/>
              <w:spacing w:after="0"/>
              <w:rPr>
                <w:sz w:val="20"/>
                <w:szCs w:val="20"/>
                <w:color w:val="auto"/>
              </w:rPr>
            </w:pPr>
            <w:r>
              <w:rPr>
                <w:rFonts w:ascii="Arial" w:cs="Arial" w:eastAsia="Arial" w:hAnsi="Arial"/>
                <w:sz w:val="14"/>
                <w:szCs w:val="14"/>
                <w:color w:val="auto"/>
              </w:rPr>
              <w:t>Residential revenue</w:t>
            </w: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10,685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10,729</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203"/>
        </w:trPr>
        <w:tc>
          <w:tcPr>
            <w:tcW w:w="7480" w:type="dxa"/>
            <w:vAlign w:val="bottom"/>
          </w:tcPr>
          <w:p>
            <w:pPr>
              <w:ind w:left="280"/>
              <w:spacing w:after="0"/>
              <w:rPr>
                <w:sz w:val="20"/>
                <w:szCs w:val="20"/>
                <w:color w:val="auto"/>
              </w:rPr>
            </w:pPr>
            <w:r>
              <w:rPr>
                <w:rFonts w:ascii="Arial" w:cs="Arial" w:eastAsia="Arial" w:hAnsi="Arial"/>
                <w:sz w:val="14"/>
                <w:szCs w:val="14"/>
                <w:color w:val="auto"/>
              </w:rPr>
              <w:t>Small and medium business</w:t>
            </w: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1,086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1,083</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0.3 %</w:t>
            </w:r>
          </w:p>
        </w:tc>
      </w:tr>
      <w:tr>
        <w:trPr>
          <w:trHeight w:val="204"/>
        </w:trPr>
        <w:tc>
          <w:tcPr>
            <w:tcW w:w="7480" w:type="dxa"/>
            <w:vAlign w:val="bottom"/>
          </w:tcPr>
          <w:p>
            <w:pPr>
              <w:ind w:left="280"/>
              <w:spacing w:after="0"/>
              <w:rPr>
                <w:sz w:val="20"/>
                <w:szCs w:val="20"/>
                <w:color w:val="auto"/>
              </w:rPr>
            </w:pPr>
            <w:r>
              <w:rPr>
                <w:rFonts w:ascii="Arial" w:cs="Arial" w:eastAsia="Arial" w:hAnsi="Arial"/>
                <w:sz w:val="14"/>
                <w:szCs w:val="14"/>
                <w:color w:val="auto"/>
              </w:rPr>
              <w:t>Enterprise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4.4 %</w:t>
            </w:r>
          </w:p>
        </w:tc>
      </w:tr>
      <w:tr>
        <w:trPr>
          <w:trHeight w:val="194"/>
        </w:trPr>
        <w:tc>
          <w:tcPr>
            <w:tcW w:w="7480" w:type="dxa"/>
            <w:vAlign w:val="bottom"/>
          </w:tcPr>
          <w:p>
            <w:pPr>
              <w:ind w:left="420"/>
              <w:spacing w:after="0"/>
              <w:rPr>
                <w:sz w:val="20"/>
                <w:szCs w:val="20"/>
                <w:color w:val="auto"/>
              </w:rPr>
            </w:pPr>
            <w:r>
              <w:rPr>
                <w:rFonts w:ascii="Arial" w:cs="Arial" w:eastAsia="Arial" w:hAnsi="Arial"/>
                <w:sz w:val="14"/>
                <w:szCs w:val="14"/>
                <w:color w:val="auto"/>
              </w:rPr>
              <w:t>Commercial revenue</w:t>
            </w: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1,783</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1.9 %</w:t>
            </w:r>
          </w:p>
        </w:tc>
      </w:tr>
      <w:tr>
        <w:trPr>
          <w:trHeight w:val="203"/>
        </w:trPr>
        <w:tc>
          <w:tcPr>
            <w:tcW w:w="7480" w:type="dxa"/>
            <w:vAlign w:val="bottom"/>
          </w:tcPr>
          <w:p>
            <w:pPr>
              <w:ind w:left="280"/>
              <w:spacing w:after="0"/>
              <w:rPr>
                <w:sz w:val="20"/>
                <w:szCs w:val="20"/>
                <w:color w:val="auto"/>
              </w:rPr>
            </w:pPr>
            <w:r>
              <w:rPr>
                <w:rFonts w:ascii="Arial" w:cs="Arial" w:eastAsia="Arial" w:hAnsi="Arial"/>
                <w:sz w:val="14"/>
                <w:szCs w:val="14"/>
                <w:color w:val="auto"/>
              </w:rPr>
              <w:t>Advertising sales</w:t>
            </w: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428</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26.4 %</w:t>
            </w:r>
          </w:p>
        </w:tc>
      </w:tr>
      <w:tr>
        <w:trPr>
          <w:trHeight w:val="204"/>
        </w:trPr>
        <w:tc>
          <w:tcPr>
            <w:tcW w:w="7480" w:type="dxa"/>
            <w:vAlign w:val="bottom"/>
          </w:tcPr>
          <w:p>
            <w:pPr>
              <w:ind w:left="28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771</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14.6 %</w:t>
            </w:r>
          </w:p>
        </w:tc>
      </w:tr>
      <w:tr>
        <w:trPr>
          <w:trHeight w:val="203"/>
        </w:trPr>
        <w:tc>
          <w:tcPr>
            <w:tcW w:w="7480" w:type="dxa"/>
            <w:vAlign w:val="bottom"/>
          </w:tcPr>
          <w:p>
            <w:pPr>
              <w:ind w:left="54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13,926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13,711</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1.6 %</w:t>
            </w:r>
          </w:p>
        </w:tc>
      </w:tr>
      <w:tr>
        <w:trPr>
          <w:trHeight w:val="21"/>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9"/>
        </w:trPr>
        <w:tc>
          <w:tcPr>
            <w:tcW w:w="7480" w:type="dxa"/>
            <w:vAlign w:val="bottom"/>
          </w:tcPr>
          <w:p>
            <w:pPr>
              <w:ind w:left="40"/>
              <w:spacing w:after="0"/>
              <w:rPr>
                <w:sz w:val="20"/>
                <w:szCs w:val="20"/>
                <w:color w:val="auto"/>
              </w:rPr>
            </w:pPr>
            <w:r>
              <w:rPr>
                <w:rFonts w:ascii="Arial" w:cs="Arial" w:eastAsia="Arial" w:hAnsi="Arial"/>
                <w:sz w:val="14"/>
                <w:szCs w:val="14"/>
                <w:color w:val="auto"/>
              </w:rPr>
              <w:t>Net income attributable to Charter shareholders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1,058</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38.6 %</w:t>
            </w:r>
          </w:p>
        </w:tc>
      </w:tr>
      <w:tr>
        <w:trPr>
          <w:trHeight w:val="203"/>
        </w:trPr>
        <w:tc>
          <w:tcPr>
            <w:tcW w:w="7480" w:type="dxa"/>
            <w:vAlign w:val="bottom"/>
          </w:tcPr>
          <w:p>
            <w:pPr>
              <w:ind w:left="40"/>
              <w:spacing w:after="0"/>
              <w:rPr>
                <w:sz w:val="20"/>
                <w:szCs w:val="20"/>
                <w:color w:val="auto"/>
              </w:rPr>
            </w:pPr>
            <w:r>
              <w:rPr>
                <w:rFonts w:ascii="Arial" w:cs="Arial" w:eastAsia="Arial" w:hAnsi="Arial"/>
                <w:sz w:val="14"/>
                <w:szCs w:val="14"/>
                <w:color w:val="auto"/>
              </w:rPr>
              <w:t>Net income attributable to Charter shareholders margin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10.5 %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7.7 %</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51"/>
        </w:trPr>
        <w:tc>
          <w:tcPr>
            <w:tcW w:w="7480" w:type="dxa"/>
            <w:vAlign w:val="bottom"/>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9"/>
                <w:szCs w:val="9"/>
                <w:color w:val="auto"/>
              </w:rPr>
              <w:t>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5,760</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5,573</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3.4 %</w:t>
            </w:r>
          </w:p>
        </w:tc>
      </w:tr>
      <w:tr>
        <w:trPr>
          <w:trHeight w:val="203"/>
        </w:trPr>
        <w:tc>
          <w:tcPr>
            <w:tcW w:w="7480" w:type="dxa"/>
            <w:vAlign w:val="bottom"/>
          </w:tcPr>
          <w:p>
            <w:pPr>
              <w:ind w:left="40"/>
              <w:spacing w:after="0"/>
              <w:rPr>
                <w:sz w:val="20"/>
                <w:szCs w:val="20"/>
                <w:color w:val="auto"/>
              </w:rPr>
            </w:pPr>
            <w:r>
              <w:rPr>
                <w:rFonts w:ascii="Arial" w:cs="Arial" w:eastAsia="Arial" w:hAnsi="Arial"/>
                <w:sz w:val="14"/>
                <w:szCs w:val="14"/>
                <w:color w:val="auto"/>
              </w:rPr>
              <w:t>Adjusted EBITDA margin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41.4 %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40.6 %</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51"/>
        </w:trPr>
        <w:tc>
          <w:tcPr>
            <w:tcW w:w="748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3,062</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2,856</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7.2 %</w:t>
            </w:r>
          </w:p>
        </w:tc>
      </w:tr>
      <w:tr>
        <w:trPr>
          <w:trHeight w:val="351"/>
        </w:trPr>
        <w:tc>
          <w:tcPr>
            <w:tcW w:w="7480" w:type="dxa"/>
            <w:vAlign w:val="bottom"/>
          </w:tcPr>
          <w:p>
            <w:pPr>
              <w:ind w:left="40"/>
              <w:spacing w:after="0"/>
              <w:rPr>
                <w:sz w:val="20"/>
                <w:szCs w:val="20"/>
                <w:color w:val="auto"/>
              </w:rPr>
            </w:pPr>
            <w:r>
              <w:rPr>
                <w:rFonts w:ascii="Arial" w:cs="Arial" w:eastAsia="Arial" w:hAnsi="Arial"/>
                <w:sz w:val="14"/>
                <w:szCs w:val="14"/>
                <w:color w:val="auto"/>
              </w:rPr>
              <w:t>Net cash flows from operating activities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3,460</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3,855</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(10.2)%</w:t>
            </w:r>
          </w:p>
        </w:tc>
      </w:tr>
      <w:tr>
        <w:trPr>
          <w:trHeight w:val="203"/>
        </w:trPr>
        <w:tc>
          <w:tcPr>
            <w:tcW w:w="748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9"/>
                <w:szCs w:val="9"/>
                <w:color w:val="auto"/>
              </w:rPr>
              <w:t>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1,061</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(7.3)%</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using whole numbers. Minor differences may exist due to rounding.</w:t>
      </w:r>
    </w:p>
    <w:p>
      <w:pPr>
        <w:spacing w:after="0" w:line="258" w:lineRule="exact"/>
        <w:rPr>
          <w:sz w:val="20"/>
          <w:szCs w:val="20"/>
          <w:color w:val="auto"/>
        </w:rPr>
      </w:pPr>
    </w:p>
    <w:p>
      <w:pPr>
        <w:ind w:left="180" w:right="20" w:hanging="172"/>
        <w:spacing w:after="0" w:line="305" w:lineRule="auto"/>
        <w:tabs>
          <w:tab w:leader="none" w:pos="178"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EBITDA and free cash flow are non-GAAP measures defined in the “Use of Adjusted EBITDA and Free Cash Flow Information” section and are reconciled to net income attributable to Charter shareholders and net cash flows from operating activities, respectively, in the addendum of this news release.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Revenues</w:t>
      </w:r>
    </w:p>
    <w:p>
      <w:pPr>
        <w:spacing w:after="0" w:line="2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Fourth quarter revenue increased by 1.6% year-over-year to $ 13.9 billion, driven by growth in residential mobile service, advertising, other and residential Internet revenues, partly offset by lower residential video revenue and $37 million of total customer credits related to hurricanes Helene and Milton.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Residential revenue totaled $10.7 billion in the fourth quarter, a decrease of 0.4% year-over-year.</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Fourth quarter 2024 monthly residential revenue per residential customer totaled $121.40, and increased by 1.7% compared to the prior year period. The growth was driven by promotional rate step-ups, rate adjustments and the growth of </w:t>
      </w:r>
      <w:r>
        <w:rPr>
          <w:rFonts w:ascii="Arial" w:cs="Arial" w:eastAsia="Arial" w:hAnsi="Arial"/>
          <w:sz w:val="20"/>
          <w:szCs w:val="20"/>
          <w:i w:val="1"/>
          <w:iCs w:val="1"/>
          <w:color w:val="auto"/>
        </w:rPr>
        <w:t xml:space="preserve">Spectrum Mobile, </w:t>
      </w:r>
      <w:r>
        <w:rPr>
          <w:rFonts w:ascii="Arial" w:cs="Arial" w:eastAsia="Arial" w:hAnsi="Arial"/>
          <w:sz w:val="20"/>
          <w:szCs w:val="20"/>
          <w:color w:val="auto"/>
        </w:rPr>
        <w:t>partly offset by a lower mix of video customer relationships, a higher mix of lower priced video packages</w:t>
      </w:r>
      <w:r>
        <w:rPr>
          <w:rFonts w:ascii="Arial" w:cs="Arial" w:eastAsia="Arial" w:hAnsi="Arial"/>
          <w:sz w:val="20"/>
          <w:szCs w:val="20"/>
          <w:i w:val="1"/>
          <w:iCs w:val="1"/>
          <w:color w:val="auto"/>
        </w:rPr>
        <w:t xml:space="preserve"> </w:t>
      </w:r>
      <w:r>
        <w:rPr>
          <w:rFonts w:ascii="Arial" w:cs="Arial" w:eastAsia="Arial" w:hAnsi="Arial"/>
          <w:sz w:val="20"/>
          <w:szCs w:val="20"/>
          <w:color w:val="auto"/>
        </w:rPr>
        <w:t>within Charter's video customer base, $37 million of costs which accounting principles require be allocated to programmer streaming applications and netted within video revenue and $34 million of residential customer credits related to hurricanes Helene and Milton.</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Internet revenue grew by 0.9% year-over-year to $5.9 billion, driven by promotional rate step-ups and rate adjustments, partly offset a decline in Internet customers during the last year and customer credits related to hurricanes Helene and Milton.</w:t>
      </w:r>
    </w:p>
    <w:p>
      <w:pPr>
        <w:spacing w:after="0" w:line="16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Video revenue totaled $3.6 billion in the fourth quarter, a decrease of 7.4% compared to the prior year period, driven by a decline in video customers during the last year, a higher mix of lower priced video packages within Charter's video customer base and $37 million of costs which accounting principles require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28" w:right="3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20"/>
          <w:szCs w:val="20"/>
          <w:color w:val="auto"/>
        </w:rPr>
        <w:t>be allocated to programmer streaming applications and netted within video revenue, partly offset by promotional rate step-ups and video rate adjustments that pass through programmer rate increases.</w:t>
      </w:r>
    </w:p>
    <w:p>
      <w:pPr>
        <w:spacing w:after="0" w:line="16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Fourth quarter mobile service revenue totaled $860 million, an increase of 37.4% year-over-year, driven by mobile line growth and mobile service revenue per line growth.</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Voice revenue decreased by 10.4% year-over-year to $353 million, driven by a decline in wireline voice customers over the last twelve months, partly offset by voice rate adjustments.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Commercial revenue increased by 1.9% year-over-year to $1.8 billion, driven by enterprise and SMB revenue growth of 4.4% and 0.3% year-over-year, respectively. The year-over-year increase in fourth quarter 2024 SMB revenue was driven by higher monthly SMB revenue per SMB customer, primarily due to rate adjustments. Enterprise revenue excluding wholesale increased by 5.2% year-over-year, mostly reflecting PSU growth.</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Fourth quarter advertising sales revenue of $540 million increased by 26.4% compared to the year</w:t>
      </w:r>
      <w:r>
        <w:rPr>
          <w:rFonts w:ascii="Times New Roman" w:cs="Times New Roman" w:eastAsia="Times New Roman" w:hAnsi="Times New Roman"/>
          <w:sz w:val="20"/>
          <w:szCs w:val="20"/>
          <w:color w:val="auto"/>
        </w:rPr>
        <w:t>-</w:t>
      </w:r>
      <w:r>
        <w:rPr>
          <w:rFonts w:ascii="Arial" w:cs="Arial" w:eastAsia="Arial" w:hAnsi="Arial"/>
          <w:sz w:val="20"/>
          <w:szCs w:val="20"/>
          <w:color w:val="auto"/>
        </w:rPr>
        <w:t>ago quarter, primarily driven by higher political revenue. Excluding political revenue in both periods, advertising sales revenue decreased by 8.2% year-over-year due to a more challenged local and national advertising market.</w:t>
      </w:r>
    </w:p>
    <w:p>
      <w:pPr>
        <w:spacing w:after="0" w:line="20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Other revenue totaled $884 million in the fourth quarter, an increase of 14.6% compared to the fourth quarter of 2023, primarily driven by higher mobile device sales.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Operating Costs and Expenses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Fourth quarter programming costs decreased by $229 million, or 9.1% as compared to the fourth quarter of 2023, reflecting fewer video customers, a higher mix of lower cost packages within Charter's video customer base and $37 million of costs which accounting principles require be allocated to programmer streaming applications and netted within video revenue, partly offset by contractual programming rate increases and renewals.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Other costs of revenue increased by $244 million, or 16.2% year-over-year, primarily driven by higher mobile device sales and mobile service direct costs, and higher advertising sales expense related to political revenue.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Field and technology operations increased by $11 million, or 0.9% year-over-year.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Customer operations decreased by $21 million, or 2.6% year-over-year, primarily due to lower labor costs.</w:t>
      </w:r>
    </w:p>
    <w:p>
      <w:pPr>
        <w:spacing w:after="0" w:line="24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 xml:space="preserve">Sales and marketing expenses increased by $30 million, or 3.2% year-over-year, given Spectrum's continued focus on driving growth and the launch of its new brand platform, </w:t>
      </w:r>
      <w:r>
        <w:rPr>
          <w:rFonts w:ascii="Arial" w:cs="Arial" w:eastAsia="Arial" w:hAnsi="Arial"/>
          <w:sz w:val="20"/>
          <w:szCs w:val="20"/>
          <w:i w:val="1"/>
          <w:iCs w:val="1"/>
          <w:color w:val="auto"/>
        </w:rPr>
        <w:t>Life Unlimited</w:t>
      </w:r>
      <w:r>
        <w:rPr>
          <w:rFonts w:ascii="Arial" w:cs="Arial" w:eastAsia="Arial" w:hAnsi="Arial"/>
          <w:sz w:val="20"/>
          <w:szCs w:val="20"/>
          <w:color w:val="auto"/>
        </w:rPr>
        <w: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Other expenses decreased by $7 million, or 0.7% as compared to the fourth quarter of 2023.</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Income Attributable to Charter Shareholders</w:t>
      </w:r>
    </w:p>
    <w:p>
      <w:pPr>
        <w:spacing w:after="0" w:line="25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Net income attributable to Charter shareholders totaled $1.5 billion in the fourth quarter of 2024, compared to $1.1 billion in the fourth quarter of 2023, due to a larger pension remeasurement loss in the prior year period and higher Adjusted EBITDA.</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Net income per basic common share attributable to Charter shareholders totaled $10.32 in the fourth quarter of 2024 compared to $7.23 during the same period last year. The increase was primarily the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28" w:right="339" w:bottom="1440" w:gutter="0" w:footer="0" w:header="0"/>
        </w:sectPr>
      </w:pPr>
    </w:p>
    <w:bookmarkStart w:id="9" w:name="page10"/>
    <w:bookmarkEnd w:id="9"/>
    <w:p>
      <w:pPr>
        <w:jc w:val="both"/>
        <w:ind w:right="20"/>
        <w:spacing w:after="0" w:line="286" w:lineRule="auto"/>
        <w:rPr>
          <w:sz w:val="20"/>
          <w:szCs w:val="20"/>
          <w:color w:val="auto"/>
        </w:rPr>
      </w:pPr>
      <w:r>
        <w:rPr>
          <w:rFonts w:ascii="Arial" w:cs="Arial" w:eastAsia="Arial" w:hAnsi="Arial"/>
          <w:sz w:val="20"/>
          <w:szCs w:val="20"/>
          <w:color w:val="auto"/>
        </w:rPr>
        <w:t>result of the factors described above in addition to a 2.9% decrease in basic weighted average common shares outstanding versus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Adjusted EBITDA</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Fourth quarter Adjusted EBITDA of $5.8 billion grew by 3.4% year-over-year, reflecting growth in revenue and operating expenses of 1.6% and 0.3%,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Capital Expenditures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Capital expenditures totaled $3.1 billion in the fourth quarter of 2024, an increase of $206 million compared to the fourth quarter of 2023, driven by higher spend on line extensions, CPE (timing of equipment purchases) and scalable infrastructure. Line extensions capital expenditures totaled $ 1.1 billion in the fourth quarter of 2024, driven by Charter's subsidized rural construction initiative and continued network expansion across residential and commercial greenfield and market fill-in opportunities.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Charter currently expects full year 2025 capital expenditures to total approximately $12 billion, including line extensions capital expenditures of approximately $4.2 billion and network evolution spend of approximately $1.5 billion. The actual amount of capital expenditures in 2025 will depend on a number of factors including, but not limited to, the pace of Charter's network evolution and expansion initiatives, supply chain timing and growth rates in Charter's residential and commercial businesses.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Cash Flow and Free Cash Flow</w:t>
      </w:r>
    </w:p>
    <w:p>
      <w:pPr>
        <w:spacing w:after="0" w:line="2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During the fourth quarter of 2024, net cash flows from operating activities totaled $3.5 billion, a decrease from $3.9 billion in the prior year. The year-over-year decline was primarily driven by a more unfavorable change in working capital, higher cash taxes and cash interest, partly offset by higher Adjusted EBITDA.</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Free cash flow in the fourth quarter of 2024 totaled $984 million, a decrease of $77 million compared to the fourth quarter of 2023. The year-over-year decline in free cash flow was primarily driven by lower net cash flows from operating activities and higher capital expenditures, partly offset by a more favorable change in accrued expenses related to capital expenditures.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 &amp; Financing</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As of December 31, 2024, total principal amount of debt was $93.8 billion and Charter's credit facilities provided approximately $6.3 billion of additional liquidity in excess of Charter's $459 million cash position.</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On December 3, 2024, Charter announced that its subsidiary, Charter Communications Operating, LLC, had entered into an amendment to its existing Credit Agreement that extends the maturity date of a significant portion of debt due in 2027 to maturity dates in 2030 and 2031.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Share Repurchases</w:t>
      </w:r>
    </w:p>
    <w:p>
      <w:pPr>
        <w:spacing w:after="0" w:line="24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During the three months ended December 31, 2024, Charter purchased 292 thousand shares of Charter Class A common stock and Charter Holdings common units for $113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28"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i w:val="1"/>
          <w:iCs w:val="1"/>
          <w:color w:val="auto"/>
        </w:rPr>
        <w:t>Webcast</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Charter will host a webcast on Friday, January 31, 2025 at 8:30 a.m. Eastern Time (ET) related to the contents of this release.</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The webcast can be accessed live via the Company's investor relations website at </w:t>
      </w:r>
      <w:r>
        <w:rPr>
          <w:rFonts w:ascii="Arial" w:cs="Arial" w:eastAsia="Arial" w:hAnsi="Arial"/>
          <w:sz w:val="20"/>
          <w:szCs w:val="20"/>
          <w:u w:val="single" w:color="auto"/>
          <w:color w:val="0000FF"/>
        </w:rPr>
        <w:t>ir.charter.com</w:t>
      </w:r>
      <w:r>
        <w:rPr>
          <w:rFonts w:ascii="Arial" w:cs="Arial" w:eastAsia="Arial" w:hAnsi="Arial"/>
          <w:sz w:val="20"/>
          <w:szCs w:val="20"/>
          <w:color w:val="auto"/>
        </w:rPr>
        <w:t xml:space="preserve">. Participants should go to the webcast link no later than 10 minutes prior to the start time to register. The webcast will be archived at </w:t>
      </w:r>
      <w:r>
        <w:rPr>
          <w:rFonts w:ascii="Arial" w:cs="Arial" w:eastAsia="Arial" w:hAnsi="Arial"/>
          <w:sz w:val="20"/>
          <w:szCs w:val="20"/>
          <w:u w:val="single" w:color="auto"/>
          <w:color w:val="0000FF"/>
        </w:rPr>
        <w:t>ir.charter.com</w:t>
      </w:r>
      <w:r>
        <w:rPr>
          <w:rFonts w:ascii="Arial" w:cs="Arial" w:eastAsia="Arial" w:hAnsi="Arial"/>
          <w:sz w:val="20"/>
          <w:szCs w:val="20"/>
          <w:color w:val="auto"/>
        </w:rPr>
        <w:t xml:space="preserve"> two hours after completion of the webcast.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Additional Information Available on Website</w:t>
      </w:r>
    </w:p>
    <w:p>
      <w:pPr>
        <w:spacing w:after="0" w:line="2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 xml:space="preserve">The information in this press release should be read in conjunction with the financial statements and footnotes contained in the Company's Annual Report on Form 10-K for the year ended December 31, 2024, which will be posted on the “Results &amp; SEC Filings” section of the Company's investor relations website at </w:t>
      </w:r>
      <w:r>
        <w:rPr>
          <w:rFonts w:ascii="Arial" w:cs="Arial" w:eastAsia="Arial" w:hAnsi="Arial"/>
          <w:sz w:val="20"/>
          <w:szCs w:val="20"/>
          <w:u w:val="single" w:color="auto"/>
          <w:color w:val="0000FF"/>
        </w:rPr>
        <w:t>ir.charter.com</w:t>
      </w:r>
      <w:r>
        <w:rPr>
          <w:rFonts w:ascii="Arial" w:cs="Arial" w:eastAsia="Arial" w:hAnsi="Arial"/>
          <w:sz w:val="20"/>
          <w:szCs w:val="20"/>
          <w:color w:val="auto"/>
        </w:rPr>
        <w:t>, when it is filed with the Securities and Exchange Commission (the "SEC"). A slide presentation to accompany the conference call and a trending schedule containing historical customer and financial data will also be available in the “Results &amp; SEC Filings” section.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Adjusted EBITDA and Free Cash Flow Information</w:t>
      </w:r>
    </w:p>
    <w:p>
      <w:pPr>
        <w:spacing w:after="0" w:line="2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Company uses certain measures that are not defined by U.S. generally accepted accounting principles ("GAAP") to evaluate various aspects of its business. Adjusted EBITDA and free cash flow are non-GAAP financial measures and should be considered in addition to, not as a substitute for, net income attributable to Charter shareholders and net cash flows from operating activities reported in accordance with GAAP. These terms, as defined by Charter, may not be comparable to similarly titled measures used by other companies. Adjusted EBITDA and free cash flow are reconciled to net income attributable to Charter shareholders and net cash flows from operating activities, respectively, in the Addendum to this release.</w:t>
      </w:r>
    </w:p>
    <w:p>
      <w:pPr>
        <w:spacing w:after="0" w:line="2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Adjusted EBITDA is defined as net income attributable to Charter shareholders plus net income attributable to noncontrolling interest, net interest expense, income taxes, depreciation and amortization, stock compensation expense, other income (expenses), net and other operating (income) expenses, net, such as special charges and (gain) loss on sale or retirement of assets. As such, it eliminates the significant non-cash depreciation and amortization expense that results from the capital-intensive nature of the Company's businesses as well as other non-cash or special items, and is unaffected by the Company's capital structure or investment activities. However, this measure is limited in that it does not reflect the periodic costs of certain capitalized tangible and intangible assets used in generating revenues and the cash cost of financing. These costs are evaluated through other financial measures.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Free cash flow is defined as net cash flows from operating activities, less capital expenditures and changes in accrued expenses related to capital expenditures.</w:t>
      </w:r>
    </w:p>
    <w:p>
      <w:pPr>
        <w:spacing w:after="0" w:line="1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Management and Charter's board of directors use Adjusted EBITDA and free cash flow to assess Charter's performance and its ability to service its debt, fund operations and make additional investments with internally generated funds. In addition, Adjusted EBITDA generally correlates to the leverage ratio calculation under the Company's credit facilities or outstanding notes to determine compliance with the covenants contained in the facilities and notes (all such documents have been previously filed with the SEC). For the purpose of calculating compliance with leverage covenants, the Company uses Adjusted EBITDA, as presented, excluding certain expenses paid by its operating subsidiaries to other Charter entities. The Company's debt covenants refer to these expenses as management fees, which were $375 million and $378 million for the three months ended December 31, 2024 and 2023, respectively, and $1.5 billion and $1.4 billion for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28"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About Charter</w:t>
      </w: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Charter Communications, Inc. (NASDAQ:CHTR) is a leading broadband connectivity company and cable operator with services available to an estimated 57 million homes and businesses in 41 states through its Spectrum brand. Over an advanced communications network, the Company offers a full range of state-of-the-art residential and business services including Spectrum Internet</w:t>
      </w:r>
      <w:r>
        <w:rPr>
          <w:rFonts w:ascii="Arial" w:cs="Arial" w:eastAsia="Arial" w:hAnsi="Arial"/>
          <w:sz w:val="25"/>
          <w:szCs w:val="25"/>
          <w:color w:val="auto"/>
          <w:vertAlign w:val="superscript"/>
        </w:rPr>
        <w:t>®</w:t>
      </w:r>
      <w:r>
        <w:rPr>
          <w:rFonts w:ascii="Arial" w:cs="Arial" w:eastAsia="Arial" w:hAnsi="Arial"/>
          <w:sz w:val="20"/>
          <w:szCs w:val="20"/>
          <w:color w:val="auto"/>
        </w:rPr>
        <w:t>, TV, Mobile and Voice.</w:t>
      </w:r>
    </w:p>
    <w:p>
      <w:pPr>
        <w:spacing w:after="0" w:line="10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For small and medium-sized companies, Spectrum Business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delivers the same suite of broadband products and services coupled with special features and applications to enhance productivity, while for larger businesses and government entities, Spectrum Enterprise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provides highly customized, fiber-based solutions. Spectrum Reach</w:t>
      </w:r>
      <w:r>
        <w:rPr>
          <w:rFonts w:ascii="Arial" w:cs="Arial" w:eastAsia="Arial" w:hAnsi="Arial"/>
          <w:sz w:val="25"/>
          <w:szCs w:val="25"/>
          <w:color w:val="auto"/>
          <w:vertAlign w:val="superscript"/>
        </w:rPr>
        <w:t>®</w:t>
      </w:r>
      <w:r>
        <w:rPr>
          <w:rFonts w:ascii="Arial" w:cs="Arial" w:eastAsia="Arial" w:hAnsi="Arial"/>
          <w:sz w:val="20"/>
          <w:szCs w:val="20"/>
          <w:color w:val="auto"/>
        </w:rPr>
        <w:t xml:space="preserve"> delivers tailored advertising and production for the modern media landscape. The Company also distributes award-winning news coverage and sports programming to its customers through Spectrum Networks. More information about Charter can be found at corporate.charter.com.</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Arial" w:cs="Arial" w:eastAsia="Arial" w:hAnsi="Arial"/>
                <w:sz w:val="20"/>
                <w:szCs w:val="20"/>
                <w:color w:val="auto"/>
              </w:rPr>
              <w:t># # #</w:t>
            </w:r>
          </w:p>
        </w:tc>
        <w:tc>
          <w:tcPr>
            <w:tcW w:w="620" w:type="dxa"/>
            <w:vAlign w:val="bottom"/>
          </w:tcPr>
          <w:p>
            <w:pPr>
              <w:spacing w:after="0"/>
              <w:rPr>
                <w:sz w:val="22"/>
                <w:szCs w:val="22"/>
                <w:color w:val="auto"/>
              </w:rPr>
            </w:pPr>
          </w:p>
        </w:tc>
      </w:tr>
      <w:tr>
        <w:trPr>
          <w:trHeight w:val="483"/>
        </w:trPr>
        <w:tc>
          <w:tcPr>
            <w:tcW w:w="5400" w:type="dxa"/>
            <w:vAlign w:val="bottom"/>
            <w:gridSpan w:val="3"/>
          </w:tcPr>
          <w:p>
            <w:pPr>
              <w:spacing w:after="0"/>
              <w:rPr>
                <w:sz w:val="20"/>
                <w:szCs w:val="20"/>
                <w:color w:val="auto"/>
              </w:rPr>
            </w:pPr>
            <w:r>
              <w:rPr>
                <w:rFonts w:ascii="Arial" w:cs="Arial" w:eastAsia="Arial" w:hAnsi="Arial"/>
                <w:sz w:val="20"/>
                <w:szCs w:val="20"/>
                <w:b w:val="1"/>
                <w:bCs w:val="1"/>
                <w:color w:val="auto"/>
              </w:rPr>
              <w:t>Contact:</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line="223" w:lineRule="exact"/>
              <w:rPr>
                <w:sz w:val="20"/>
                <w:szCs w:val="20"/>
                <w:color w:val="auto"/>
              </w:rPr>
            </w:pPr>
            <w:r>
              <w:rPr>
                <w:rFonts w:ascii="Arial" w:cs="Arial" w:eastAsia="Arial" w:hAnsi="Arial"/>
                <w:sz w:val="20"/>
                <w:szCs w:val="20"/>
                <w:color w:val="auto"/>
                <w:w w:val="96"/>
              </w:rPr>
              <w:t>Media:</w:t>
            </w:r>
          </w:p>
        </w:tc>
        <w:tc>
          <w:tcPr>
            <w:tcW w:w="4780" w:type="dxa"/>
            <w:vAlign w:val="bottom"/>
          </w:tcPr>
          <w:p>
            <w:pPr>
              <w:spacing w:after="0"/>
              <w:rPr>
                <w:sz w:val="19"/>
                <w:szCs w:val="19"/>
                <w:color w:val="auto"/>
              </w:rPr>
            </w:pPr>
          </w:p>
        </w:tc>
        <w:tc>
          <w:tcPr>
            <w:tcW w:w="1420" w:type="dxa"/>
            <w:vAlign w:val="bottom"/>
            <w:gridSpan w:val="2"/>
          </w:tcPr>
          <w:p>
            <w:pPr>
              <w:spacing w:after="0" w:line="223" w:lineRule="exact"/>
              <w:rPr>
                <w:sz w:val="20"/>
                <w:szCs w:val="20"/>
                <w:color w:val="auto"/>
              </w:rPr>
            </w:pPr>
            <w:r>
              <w:rPr>
                <w:rFonts w:ascii="Arial" w:cs="Arial" w:eastAsia="Arial" w:hAnsi="Arial"/>
                <w:sz w:val="20"/>
                <w:szCs w:val="20"/>
                <w:color w:val="auto"/>
              </w:rPr>
              <w:t>Analysts:</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20"/>
                <w:szCs w:val="20"/>
                <w:color w:val="auto"/>
              </w:rPr>
              <w:t>Justin Venech</w:t>
            </w:r>
          </w:p>
        </w:tc>
        <w:tc>
          <w:tcPr>
            <w:tcW w:w="1420" w:type="dxa"/>
            <w:vAlign w:val="bottom"/>
            <w:gridSpan w:val="2"/>
          </w:tcPr>
          <w:p>
            <w:pPr>
              <w:spacing w:after="0"/>
              <w:rPr>
                <w:sz w:val="20"/>
                <w:szCs w:val="20"/>
                <w:color w:val="auto"/>
              </w:rPr>
            </w:pPr>
            <w:r>
              <w:rPr>
                <w:rFonts w:ascii="Arial" w:cs="Arial" w:eastAsia="Arial" w:hAnsi="Arial"/>
                <w:sz w:val="20"/>
                <w:szCs w:val="20"/>
                <w:color w:val="auto"/>
                <w:w w:val="97"/>
              </w:rPr>
              <w:t>Stefan Anninger</w:t>
            </w:r>
          </w:p>
        </w:tc>
      </w:tr>
      <w:tr>
        <w:trPr>
          <w:trHeight w:val="261"/>
        </w:trPr>
        <w:tc>
          <w:tcPr>
            <w:tcW w:w="5400" w:type="dxa"/>
            <w:vAlign w:val="bottom"/>
            <w:gridSpan w:val="3"/>
          </w:tcPr>
          <w:p>
            <w:pPr>
              <w:ind w:left="20"/>
              <w:spacing w:after="0"/>
              <w:rPr>
                <w:sz w:val="20"/>
                <w:szCs w:val="20"/>
                <w:color w:val="auto"/>
              </w:rPr>
            </w:pPr>
            <w:r>
              <w:rPr>
                <w:rFonts w:ascii="Arial" w:cs="Arial" w:eastAsia="Arial" w:hAnsi="Arial"/>
                <w:sz w:val="20"/>
                <w:szCs w:val="20"/>
                <w:color w:val="auto"/>
              </w:rPr>
              <w:t>203-905-7818</w:t>
            </w:r>
          </w:p>
        </w:tc>
        <w:tc>
          <w:tcPr>
            <w:tcW w:w="1420" w:type="dxa"/>
            <w:vAlign w:val="bottom"/>
            <w:gridSpan w:val="2"/>
          </w:tcPr>
          <w:p>
            <w:pPr>
              <w:spacing w:after="0"/>
              <w:rPr>
                <w:sz w:val="20"/>
                <w:szCs w:val="20"/>
                <w:color w:val="auto"/>
              </w:rPr>
            </w:pPr>
            <w:r>
              <w:rPr>
                <w:rFonts w:ascii="Arial" w:cs="Arial" w:eastAsia="Arial" w:hAnsi="Arial"/>
                <w:sz w:val="20"/>
                <w:szCs w:val="20"/>
                <w:color w:val="auto"/>
              </w:rPr>
              <w:t>203-905-7955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2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5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communication includes forward-looking statements within the meaning of Section 27A of the Securities Act of 1933, as amended, and Section 21E of the Securities Exchange Act of 1934, as amended, regarding, among other things, our plans, strategies and prospects, both business and financial.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from time to time in our filings with the SEC. Many of the forward-looking statements contained in this communication may be identified by the use of forward-looking words such as “believe,”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communication are set forth in our annual report on Form 10-K, and in other reports or documents that we file from time to time with the SEC, and include, but are not limited to:</w:t>
      </w:r>
    </w:p>
    <w:p>
      <w:pPr>
        <w:spacing w:after="0" w:line="217" w:lineRule="exact"/>
        <w:rPr>
          <w:sz w:val="20"/>
          <w:szCs w:val="20"/>
          <w:color w:val="auto"/>
        </w:rPr>
      </w:pPr>
    </w:p>
    <w:p>
      <w:pPr>
        <w:jc w:val="both"/>
        <w:ind w:left="340" w:hanging="332"/>
        <w:spacing w:after="0" w:line="251"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sustain and grow revenues and cash flow from operations by offering Internet, video, mobile,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jc w:val="both"/>
        <w:ind w:left="340" w:hanging="332"/>
        <w:spacing w:after="0" w:line="248"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impact of competition from other market participants, including but not limited to incumbent telephone companies, direct broadcast satellite ("DBS") operators, wireless broadband and telephone providers, digital subscriber line (“DSL”) providers, fiber to the home providers and providers of video content over broadband Internet connections;</w:t>
      </w:r>
    </w:p>
    <w:p>
      <w:pPr>
        <w:spacing w:after="0" w:line="2" w:lineRule="exact"/>
        <w:rPr>
          <w:rFonts w:ascii="Arial" w:cs="Arial" w:eastAsia="Arial" w:hAnsi="Arial"/>
          <w:sz w:val="20"/>
          <w:szCs w:val="20"/>
          <w:color w:val="auto"/>
        </w:rPr>
      </w:pPr>
    </w:p>
    <w:p>
      <w:pPr>
        <w:ind w:left="340" w:hanging="332"/>
        <w:spacing w:after="0" w:line="239"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general business conditions, unemployment levels and the level of activity in the housing sector and economic uncertainty or downturn;</w:t>
      </w: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develop and deploy new products and technologies including consumer services and service platforms;</w:t>
      </w: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any events that disrupt our networks, information systems or properties and impair our operating activities or our reputation;</w:t>
      </w:r>
    </w:p>
    <w:p>
      <w:pPr>
        <w:spacing w:after="0" w:line="13" w:lineRule="exact"/>
        <w:rPr>
          <w:rFonts w:ascii="Arial" w:cs="Arial" w:eastAsia="Arial" w:hAnsi="Arial"/>
          <w:sz w:val="20"/>
          <w:szCs w:val="20"/>
          <w:color w:val="auto"/>
        </w:rPr>
      </w:pPr>
    </w:p>
    <w:p>
      <w:pPr>
        <w:jc w:val="both"/>
        <w:ind w:left="340" w:hanging="332"/>
        <w:spacing w:after="0" w:line="248"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spacing w:after="0" w:line="2" w:lineRule="exact"/>
        <w:rPr>
          <w:rFonts w:ascii="Arial" w:cs="Arial" w:eastAsia="Arial" w:hAnsi="Arial"/>
          <w:sz w:val="20"/>
          <w:szCs w:val="20"/>
          <w:color w:val="auto"/>
        </w:rPr>
      </w:pPr>
    </w:p>
    <w:p>
      <w:pPr>
        <w:ind w:left="340" w:hanging="332"/>
        <w:spacing w:after="0" w:line="246"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procure necessary services and equipment from our vendors in a timely manner and at reasonable costs including in connection with our network evolution and rural construction initiatives;</w:t>
      </w:r>
    </w:p>
    <w:p>
      <w:pPr>
        <w:spacing w:after="0" w:line="1" w:lineRule="exact"/>
        <w:rPr>
          <w:rFonts w:ascii="Arial" w:cs="Arial" w:eastAsia="Arial" w:hAnsi="Arial"/>
          <w:sz w:val="20"/>
          <w:szCs w:val="20"/>
          <w:color w:val="auto"/>
        </w:rPr>
      </w:pPr>
    </w:p>
    <w:p>
      <w:pPr>
        <w:ind w:left="340" w:hanging="332"/>
        <w:spacing w:after="0" w:line="246"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obtain programming at reasonable prices or to raise prices to offset, in whole or in part, the effects of higher programming costs (including retransmission consents and distribution requirements);</w:t>
      </w:r>
    </w:p>
    <w:p>
      <w:pPr>
        <w:spacing w:after="0" w:line="1" w:lineRule="exact"/>
        <w:rPr>
          <w:rFonts w:ascii="Arial" w:cs="Arial" w:eastAsia="Arial" w:hAnsi="Arial"/>
          <w:sz w:val="20"/>
          <w:szCs w:val="20"/>
          <w:color w:val="auto"/>
        </w:rPr>
      </w:pP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ability to hire and retain key personnel;</w:t>
      </w:r>
    </w:p>
    <w:p>
      <w:pPr>
        <w:spacing w:after="0" w:line="13" w:lineRule="exact"/>
        <w:rPr>
          <w:rFonts w:ascii="Arial" w:cs="Arial" w:eastAsia="Arial" w:hAnsi="Arial"/>
          <w:sz w:val="20"/>
          <w:szCs w:val="20"/>
          <w:color w:val="auto"/>
        </w:rPr>
      </w:pPr>
    </w:p>
    <w:p>
      <w:pPr>
        <w:jc w:val="both"/>
        <w:ind w:left="340" w:hanging="332"/>
        <w:spacing w:after="0" w:line="244"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availability and access, in general, of funds to meet our debt obligations prior to or when they become due and to fund our operations and necessary capital expenditures, either through (i) cash on hand, (ii) free cash flow, or (iii) access to the capital or credit markets;</w:t>
      </w:r>
    </w:p>
    <w:p>
      <w:pPr>
        <w:ind w:left="340" w:hanging="332"/>
        <w:spacing w:after="0" w:line="253"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comply with all covenants in our indentures and credit facilities, any violation of which, if not cured in a timely manner, could trigger a default of our other obligations under cross-default provisions;</w:t>
      </w:r>
    </w:p>
    <w:p>
      <w:pPr>
        <w:spacing w:after="0" w:line="1" w:lineRule="exact"/>
        <w:rPr>
          <w:rFonts w:ascii="Arial" w:cs="Arial" w:eastAsia="Arial" w:hAnsi="Arial"/>
          <w:sz w:val="20"/>
          <w:szCs w:val="20"/>
          <w:color w:val="auto"/>
        </w:rPr>
      </w:pPr>
    </w:p>
    <w:p>
      <w:pPr>
        <w:ind w:left="340" w:hanging="332"/>
        <w:spacing w:after="0" w:line="246"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satisfy the conditions to consummate the Liberty Broadband combination and/or to consummate the Liberty Broadband combination in a timely manner or at all;</w:t>
      </w:r>
    </w:p>
    <w:p>
      <w:pPr>
        <w:spacing w:after="0" w:line="1" w:lineRule="exact"/>
        <w:rPr>
          <w:rFonts w:ascii="Arial" w:cs="Arial" w:eastAsia="Arial" w:hAnsi="Arial"/>
          <w:sz w:val="20"/>
          <w:szCs w:val="20"/>
          <w:color w:val="auto"/>
        </w:rPr>
      </w:pPr>
    </w:p>
    <w:p>
      <w:pPr>
        <w:ind w:left="340" w:hanging="332"/>
        <w:spacing w:after="0" w:line="253"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risks related to us being restricted in the operation of our business while the Liberty Broadband merger agreement is in effect;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26" w:right="339" w:bottom="1440" w:gutter="0" w:footer="0" w:header="0"/>
        </w:sectPr>
      </w:pPr>
    </w:p>
    <w:bookmarkStart w:id="13" w:name="page14"/>
    <w:bookmarkEnd w:id="13"/>
    <w:p>
      <w:pPr>
        <w:jc w:val="both"/>
        <w:ind w:left="340" w:hanging="332"/>
        <w:spacing w:after="0" w:line="262"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other risks related to the Liberty Broadband combination as described in the definitive joint proxy statement/prospectus with respect to the combination, filed by Charter on January 22, 2025, including the sections entitled “Risk Factors” and “Where You Can Find More Information” included therein.</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All forward-looking statements attributable to us or any person acting on our behalf are expressly qualified in their entirety by this cautionary statement. We are under no duty or obligation to update any of the forward-looking statements after the date of this communication.</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2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RECONCILIATION OF NON-GAAP MEASURES TO GAAP MEASURES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Pr>
          <w:p>
            <w:pPr>
              <w:spacing w:after="0"/>
              <w:rPr>
                <w:sz w:val="17"/>
                <w:szCs w:val="17"/>
                <w:color w:val="auto"/>
              </w:rPr>
            </w:pPr>
          </w:p>
        </w:tc>
        <w:tc>
          <w:tcPr>
            <w:tcW w:w="238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57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r>
      <w:tr>
        <w:trPr>
          <w:trHeight w:val="190"/>
        </w:trPr>
        <w:tc>
          <w:tcPr>
            <w:tcW w:w="5760" w:type="dxa"/>
            <w:vAlign w:val="bottom"/>
          </w:tcPr>
          <w:p>
            <w:pPr>
              <w:spacing w:after="0"/>
              <w:rPr>
                <w:sz w:val="20"/>
                <w:szCs w:val="20"/>
                <w:color w:val="auto"/>
              </w:rPr>
            </w:pPr>
            <w:r>
              <w:rPr>
                <w:rFonts w:ascii="Arial" w:cs="Arial" w:eastAsia="Arial" w:hAnsi="Arial"/>
                <w:sz w:val="14"/>
                <w:szCs w:val="14"/>
                <w:color w:val="auto"/>
              </w:rPr>
              <w:t>Net income attributable to Charter shareholders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1,058</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5,083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4,557</w:t>
            </w:r>
          </w:p>
        </w:tc>
      </w:tr>
      <w:tr>
        <w:trPr>
          <w:trHeight w:val="203"/>
        </w:trPr>
        <w:tc>
          <w:tcPr>
            <w:tcW w:w="5760" w:type="dxa"/>
            <w:vAlign w:val="bottom"/>
          </w:tcPr>
          <w:p>
            <w:pPr>
              <w:ind w:left="120"/>
              <w:spacing w:after="0"/>
              <w:rPr>
                <w:sz w:val="20"/>
                <w:szCs w:val="20"/>
                <w:color w:val="auto"/>
              </w:rPr>
            </w:pPr>
            <w:r>
              <w:rPr>
                <w:rFonts w:ascii="Arial" w:cs="Arial" w:eastAsia="Arial" w:hAnsi="Arial"/>
                <w:sz w:val="14"/>
                <w:szCs w:val="14"/>
                <w:color w:val="auto"/>
              </w:rPr>
              <w:t>Plus: Net income attributable to noncontrolling interest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704</w:t>
            </w:r>
          </w:p>
        </w:tc>
      </w:tr>
      <w:tr>
        <w:trPr>
          <w:trHeight w:val="202"/>
        </w:trPr>
        <w:tc>
          <w:tcPr>
            <w:tcW w:w="5760" w:type="dxa"/>
            <w:vAlign w:val="bottom"/>
          </w:tcPr>
          <w:p>
            <w:pPr>
              <w:ind w:left="520"/>
              <w:spacing w:after="0"/>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5,229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5,188</w:t>
            </w:r>
          </w:p>
        </w:tc>
      </w:tr>
      <w:tr>
        <w:trPr>
          <w:trHeight w:val="203"/>
        </w:trPr>
        <w:tc>
          <w:tcPr>
            <w:tcW w:w="5760" w:type="dxa"/>
            <w:vAlign w:val="bottom"/>
          </w:tcPr>
          <w:p>
            <w:pPr>
              <w:ind w:left="520"/>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1,593</w:t>
            </w:r>
          </w:p>
        </w:tc>
      </w:tr>
      <w:tr>
        <w:trPr>
          <w:trHeight w:val="203"/>
        </w:trPr>
        <w:tc>
          <w:tcPr>
            <w:tcW w:w="5760" w:type="dxa"/>
            <w:vAlign w:val="bottom"/>
          </w:tcPr>
          <w:p>
            <w:pPr>
              <w:ind w:left="5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2,188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8,673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8,696</w:t>
            </w:r>
          </w:p>
        </w:tc>
      </w:tr>
      <w:tr>
        <w:trPr>
          <w:trHeight w:val="203"/>
        </w:trPr>
        <w:tc>
          <w:tcPr>
            <w:tcW w:w="5760" w:type="dxa"/>
            <w:vAlign w:val="bottom"/>
          </w:tcPr>
          <w:p>
            <w:pPr>
              <w:ind w:left="520"/>
              <w:spacing w:after="0"/>
              <w:rPr>
                <w:sz w:val="20"/>
                <w:szCs w:val="20"/>
                <w:color w:val="auto"/>
              </w:rPr>
            </w:pPr>
            <w:r>
              <w:rPr>
                <w:rFonts w:ascii="Arial" w:cs="Arial" w:eastAsia="Arial" w:hAnsi="Arial"/>
                <w:sz w:val="14"/>
                <w:szCs w:val="14"/>
                <w:color w:val="auto"/>
              </w:rPr>
              <w:t>Stock compensation expense</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692</w:t>
            </w:r>
          </w:p>
        </w:tc>
      </w:tr>
      <w:tr>
        <w:trPr>
          <w:trHeight w:val="207"/>
        </w:trPr>
        <w:tc>
          <w:tcPr>
            <w:tcW w:w="5760" w:type="dxa"/>
            <w:vAlign w:val="bottom"/>
          </w:tcPr>
          <w:p>
            <w:pPr>
              <w:ind w:left="520"/>
              <w:spacing w:after="0"/>
              <w:rPr>
                <w:sz w:val="20"/>
                <w:szCs w:val="20"/>
                <w:color w:val="auto"/>
              </w:rPr>
            </w:pPr>
            <w:r>
              <w:rPr>
                <w:rFonts w:ascii="Arial" w:cs="Arial" w:eastAsia="Arial" w:hAnsi="Arial"/>
                <w:sz w:val="14"/>
                <w:szCs w:val="14"/>
                <w:color w:val="auto"/>
              </w:rPr>
              <w:t>Other, net</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r>
      <w:tr>
        <w:trPr>
          <w:trHeight w:val="200"/>
        </w:trPr>
        <w:tc>
          <w:tcPr>
            <w:tcW w:w="5760" w:type="dxa"/>
            <w:vAlign w:val="bottom"/>
          </w:tcPr>
          <w:p>
            <w:pPr>
              <w:spacing w:after="0" w:line="200"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22,569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21,894</w:t>
            </w:r>
          </w:p>
        </w:tc>
      </w:tr>
      <w:tr>
        <w:trPr>
          <w:trHeight w:val="21"/>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7"/>
        </w:trPr>
        <w:tc>
          <w:tcPr>
            <w:tcW w:w="5760" w:type="dxa"/>
            <w:vAlign w:val="bottom"/>
          </w:tcPr>
          <w:p>
            <w:pPr>
              <w:spacing w:after="0"/>
              <w:rPr>
                <w:sz w:val="20"/>
                <w:szCs w:val="20"/>
                <w:color w:val="auto"/>
              </w:rPr>
            </w:pPr>
            <w:r>
              <w:rPr>
                <w:rFonts w:ascii="Arial" w:cs="Arial" w:eastAsia="Arial" w:hAnsi="Arial"/>
                <w:sz w:val="14"/>
                <w:szCs w:val="14"/>
                <w:color w:val="auto"/>
              </w:rPr>
              <w:t>Net cash flows from operating activities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3,460</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3,855</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14,430</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14,433</w:t>
            </w:r>
          </w:p>
        </w:tc>
      </w:tr>
      <w:tr>
        <w:trPr>
          <w:trHeight w:val="203"/>
        </w:trPr>
        <w:tc>
          <w:tcPr>
            <w:tcW w:w="5760" w:type="dxa"/>
            <w:vAlign w:val="bottom"/>
          </w:tcPr>
          <w:p>
            <w:pPr>
              <w:ind w:left="120"/>
              <w:spacing w:after="0"/>
              <w:rPr>
                <w:sz w:val="20"/>
                <w:szCs w:val="20"/>
                <w:color w:val="auto"/>
              </w:rPr>
            </w:pPr>
            <w:r>
              <w:rPr>
                <w:rFonts w:ascii="Arial" w:cs="Arial" w:eastAsia="Arial" w:hAnsi="Arial"/>
                <w:sz w:val="14"/>
                <w:szCs w:val="14"/>
                <w:color w:val="auto"/>
              </w:rPr>
              <w:t>Less: Purchases of property, plant and equipment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(3,062)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(11,115)</w:t>
            </w:r>
          </w:p>
        </w:tc>
      </w:tr>
      <w:tr>
        <w:trPr>
          <w:trHeight w:val="207"/>
        </w:trPr>
        <w:tc>
          <w:tcPr>
            <w:tcW w:w="5760" w:type="dxa"/>
            <w:vAlign w:val="bottom"/>
          </w:tcPr>
          <w:p>
            <w:pPr>
              <w:ind w:left="520"/>
              <w:spacing w:after="0"/>
              <w:rPr>
                <w:sz w:val="20"/>
                <w:szCs w:val="20"/>
                <w:color w:val="auto"/>
              </w:rPr>
            </w:pPr>
            <w:r>
              <w:rPr>
                <w:rFonts w:ascii="Arial" w:cs="Arial" w:eastAsia="Arial" w:hAnsi="Arial"/>
                <w:sz w:val="14"/>
                <w:szCs w:val="14"/>
                <w:color w:val="auto"/>
              </w:rPr>
              <w:t>Change in accrued expenses related to capital expenditures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r>
      <w:tr>
        <w:trPr>
          <w:trHeight w:val="200"/>
        </w:trPr>
        <w:tc>
          <w:tcPr>
            <w:tcW w:w="5760" w:type="dxa"/>
            <w:vAlign w:val="bottom"/>
          </w:tcPr>
          <w:p>
            <w:pPr>
              <w:spacing w:after="0" w:line="200" w:lineRule="exact"/>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3,490</w:t>
            </w:r>
          </w:p>
        </w:tc>
      </w:tr>
      <w:tr>
        <w:trPr>
          <w:trHeight w:val="21"/>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The above schedule is presented in order to reconcile Adjusted EBITDA and free cash flow, non-GAAP measures, to the most directly comparable GAAP measures in accordance with Section 401(b) of the Sarbanes-Oxley 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ALTERNATIVE PRESENTATION OF ADJUSTED EBITDA</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6"/>
          </w:tcPr>
          <w:p>
            <w:pPr>
              <w:jc w:val="right"/>
              <w:ind w:right="608"/>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r>
      <w:tr>
        <w:trPr>
          <w:trHeight w:val="195"/>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6"/>
                <w:szCs w:val="16"/>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176"/>
        </w:trPr>
        <w:tc>
          <w:tcPr>
            <w:tcW w:w="3600" w:type="dxa"/>
            <w:vAlign w:val="bottom"/>
          </w:tcPr>
          <w:p>
            <w:pPr>
              <w:spacing w:after="0"/>
              <w:rPr>
                <w:sz w:val="20"/>
                <w:szCs w:val="20"/>
                <w:color w:val="auto"/>
              </w:rPr>
            </w:pPr>
            <w:r>
              <w:rPr>
                <w:rFonts w:ascii="Arial" w:cs="Arial" w:eastAsia="Arial" w:hAnsi="Arial"/>
                <w:sz w:val="14"/>
                <w:szCs w:val="14"/>
                <w:color w:val="auto"/>
              </w:rPr>
              <w:t>REVENUES: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03"/>
        </w:trPr>
        <w:tc>
          <w:tcPr>
            <w:tcW w:w="3600" w:type="dxa"/>
            <w:vAlign w:val="bottom"/>
          </w:tcPr>
          <w:p>
            <w:pPr>
              <w:ind w:left="120"/>
              <w:spacing w:after="0"/>
              <w:rPr>
                <w:sz w:val="20"/>
                <w:szCs w:val="20"/>
                <w:color w:val="auto"/>
              </w:rPr>
            </w:pPr>
            <w:r>
              <w:rPr>
                <w:rFonts w:ascii="Arial" w:cs="Arial" w:eastAsia="Arial" w:hAnsi="Arial"/>
                <w:sz w:val="14"/>
                <w:szCs w:val="14"/>
                <w:color w:val="auto"/>
              </w:rPr>
              <w:t>Internet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5,856</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5,805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0.9 %</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23,360</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23,032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203"/>
        </w:trPr>
        <w:tc>
          <w:tcPr>
            <w:tcW w:w="3600" w:type="dxa"/>
            <w:vAlign w:val="bottom"/>
          </w:tcPr>
          <w:p>
            <w:pPr>
              <w:ind w:left="120"/>
              <w:spacing w:after="0"/>
              <w:rPr>
                <w:sz w:val="20"/>
                <w:szCs w:val="20"/>
                <w:color w:val="auto"/>
              </w:rPr>
            </w:pPr>
            <w:r>
              <w:rPr>
                <w:rFonts w:ascii="Arial" w:cs="Arial" w:eastAsia="Arial" w:hAnsi="Arial"/>
                <w:sz w:val="14"/>
                <w:szCs w:val="14"/>
                <w:color w:val="auto"/>
              </w:rPr>
              <w:t>Video</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3,905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15,126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16,351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03"/>
        </w:trPr>
        <w:tc>
          <w:tcPr>
            <w:tcW w:w="3600" w:type="dxa"/>
            <w:vAlign w:val="bottom"/>
          </w:tcPr>
          <w:p>
            <w:pPr>
              <w:ind w:left="120"/>
              <w:spacing w:after="0"/>
              <w:rPr>
                <w:sz w:val="20"/>
                <w:szCs w:val="20"/>
                <w:color w:val="auto"/>
              </w:rPr>
            </w:pPr>
            <w:r>
              <w:rPr>
                <w:rFonts w:ascii="Arial" w:cs="Arial" w:eastAsia="Arial" w:hAnsi="Arial"/>
                <w:sz w:val="14"/>
                <w:szCs w:val="14"/>
                <w:color w:val="auto"/>
              </w:rPr>
              <w:t>Mobile service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37.4 %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37.5 %</w:t>
            </w:r>
          </w:p>
        </w:tc>
      </w:tr>
      <w:tr>
        <w:trPr>
          <w:trHeight w:val="204"/>
        </w:trPr>
        <w:tc>
          <w:tcPr>
            <w:tcW w:w="3600" w:type="dxa"/>
            <w:vAlign w:val="bottom"/>
          </w:tcPr>
          <w:p>
            <w:pPr>
              <w:ind w:left="120"/>
              <w:spacing w:after="0"/>
              <w:rPr>
                <w:sz w:val="20"/>
                <w:szCs w:val="20"/>
                <w:color w:val="auto"/>
              </w:rPr>
            </w:pPr>
            <w:r>
              <w:rPr>
                <w:rFonts w:ascii="Arial" w:cs="Arial" w:eastAsia="Arial" w:hAnsi="Arial"/>
                <w:sz w:val="14"/>
                <w:szCs w:val="14"/>
                <w:color w:val="auto"/>
              </w:rPr>
              <w:t>Voice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94"/>
        </w:trPr>
        <w:tc>
          <w:tcPr>
            <w:tcW w:w="3600" w:type="dxa"/>
            <w:vAlign w:val="bottom"/>
          </w:tcPr>
          <w:p>
            <w:pPr>
              <w:ind w:left="200"/>
              <w:spacing w:after="0"/>
              <w:rPr>
                <w:sz w:val="20"/>
                <w:szCs w:val="20"/>
                <w:color w:val="auto"/>
              </w:rPr>
            </w:pPr>
            <w:r>
              <w:rPr>
                <w:rFonts w:ascii="Arial" w:cs="Arial" w:eastAsia="Arial" w:hAnsi="Arial"/>
                <w:sz w:val="14"/>
                <w:szCs w:val="14"/>
                <w:color w:val="auto"/>
              </w:rPr>
              <w:t>Residential revenue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10,729</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43,006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43,136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3"/>
        </w:trPr>
        <w:tc>
          <w:tcPr>
            <w:tcW w:w="3600" w:type="dxa"/>
            <w:vAlign w:val="bottom"/>
          </w:tcPr>
          <w:p>
            <w:pPr>
              <w:ind w:left="120"/>
              <w:spacing w:after="0"/>
              <w:rPr>
                <w:sz w:val="20"/>
                <w:szCs w:val="20"/>
                <w:color w:val="auto"/>
              </w:rPr>
            </w:pPr>
            <w:r>
              <w:rPr>
                <w:rFonts w:ascii="Arial" w:cs="Arial" w:eastAsia="Arial" w:hAnsi="Arial"/>
                <w:sz w:val="14"/>
                <w:szCs w:val="14"/>
                <w:color w:val="auto"/>
              </w:rPr>
              <w:t>Small and medium business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4,371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204"/>
        </w:trPr>
        <w:tc>
          <w:tcPr>
            <w:tcW w:w="3600" w:type="dxa"/>
            <w:vAlign w:val="bottom"/>
          </w:tcPr>
          <w:p>
            <w:pPr>
              <w:ind w:left="120"/>
              <w:spacing w:after="0"/>
              <w:rPr>
                <w:sz w:val="20"/>
                <w:szCs w:val="20"/>
                <w:color w:val="auto"/>
              </w:rPr>
            </w:pPr>
            <w:r>
              <w:rPr>
                <w:rFonts w:ascii="Arial" w:cs="Arial" w:eastAsia="Arial" w:hAnsi="Arial"/>
                <w:sz w:val="14"/>
                <w:szCs w:val="14"/>
                <w:color w:val="auto"/>
              </w:rPr>
              <w:t>Enterprise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4.4 %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4.1 %</w:t>
            </w:r>
          </w:p>
        </w:tc>
      </w:tr>
      <w:tr>
        <w:trPr>
          <w:trHeight w:val="195"/>
        </w:trPr>
        <w:tc>
          <w:tcPr>
            <w:tcW w:w="3600" w:type="dxa"/>
            <w:vAlign w:val="bottom"/>
          </w:tcPr>
          <w:p>
            <w:pPr>
              <w:ind w:left="200"/>
              <w:spacing w:after="0"/>
              <w:rPr>
                <w:sz w:val="20"/>
                <w:szCs w:val="20"/>
                <w:color w:val="auto"/>
              </w:rPr>
            </w:pPr>
            <w:r>
              <w:rPr>
                <w:rFonts w:ascii="Arial" w:cs="Arial" w:eastAsia="Arial" w:hAnsi="Arial"/>
                <w:sz w:val="14"/>
                <w:szCs w:val="14"/>
                <w:color w:val="auto"/>
              </w:rPr>
              <w:t>Commercial revenue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7,254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203"/>
        </w:trPr>
        <w:tc>
          <w:tcPr>
            <w:tcW w:w="3600" w:type="dxa"/>
            <w:vAlign w:val="bottom"/>
          </w:tcPr>
          <w:p>
            <w:pPr>
              <w:ind w:left="120"/>
              <w:spacing w:after="0"/>
              <w:rPr>
                <w:sz w:val="20"/>
                <w:szCs w:val="20"/>
                <w:color w:val="auto"/>
              </w:rPr>
            </w:pPr>
            <w:r>
              <w:rPr>
                <w:rFonts w:ascii="Arial" w:cs="Arial" w:eastAsia="Arial" w:hAnsi="Arial"/>
                <w:sz w:val="14"/>
                <w:szCs w:val="14"/>
                <w:color w:val="auto"/>
              </w:rPr>
              <w:t>Advertising sales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428</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26.4 %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14.8 %</w:t>
            </w:r>
          </w:p>
        </w:tc>
      </w:tr>
      <w:tr>
        <w:trPr>
          <w:trHeight w:val="204"/>
        </w:trPr>
        <w:tc>
          <w:tcPr>
            <w:tcW w:w="3600" w:type="dxa"/>
            <w:vAlign w:val="bottom"/>
          </w:tcPr>
          <w:p>
            <w:pPr>
              <w:ind w:left="1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14.6 %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8.8 %</w:t>
            </w:r>
          </w:p>
        </w:tc>
      </w:tr>
      <w:tr>
        <w:trPr>
          <w:trHeight w:val="196"/>
        </w:trPr>
        <w:tc>
          <w:tcPr>
            <w:tcW w:w="3600" w:type="dxa"/>
            <w:vAlign w:val="bottom"/>
          </w:tcPr>
          <w:p>
            <w:pPr>
              <w:ind w:left="22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13,711</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55,085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0.9 %</w:t>
            </w:r>
          </w:p>
        </w:tc>
      </w:tr>
      <w:tr>
        <w:trPr>
          <w:trHeight w:val="329"/>
        </w:trPr>
        <w:tc>
          <w:tcPr>
            <w:tcW w:w="3600" w:type="dxa"/>
            <w:vAlign w:val="bottom"/>
          </w:tcPr>
          <w:p>
            <w:pPr>
              <w:spacing w:after="0"/>
              <w:rPr>
                <w:sz w:val="20"/>
                <w:szCs w:val="20"/>
                <w:color w:val="auto"/>
              </w:rPr>
            </w:pPr>
            <w:r>
              <w:rPr>
                <w:rFonts w:ascii="Arial" w:cs="Arial" w:eastAsia="Arial" w:hAnsi="Arial"/>
                <w:sz w:val="14"/>
                <w:szCs w:val="14"/>
                <w:color w:val="auto"/>
              </w:rPr>
              <w:t>COSTS AND EXPENSES: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00" w:type="dxa"/>
            <w:vAlign w:val="bottom"/>
          </w:tcPr>
          <w:p>
            <w:pPr>
              <w:ind w:left="120"/>
              <w:spacing w:after="0"/>
              <w:rPr>
                <w:sz w:val="20"/>
                <w:szCs w:val="20"/>
                <w:color w:val="auto"/>
              </w:rPr>
            </w:pPr>
            <w:r>
              <w:rPr>
                <w:rFonts w:ascii="Arial" w:cs="Arial" w:eastAsia="Arial" w:hAnsi="Arial"/>
                <w:sz w:val="14"/>
                <w:szCs w:val="14"/>
                <w:color w:val="auto"/>
              </w:rPr>
              <w:t>Programming</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2,275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2,504</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9,653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3"/>
        </w:trPr>
        <w:tc>
          <w:tcPr>
            <w:tcW w:w="3600" w:type="dxa"/>
            <w:vAlign w:val="bottom"/>
          </w:tcPr>
          <w:p>
            <w:pPr>
              <w:ind w:left="120"/>
              <w:spacing w:after="0"/>
              <w:rPr>
                <w:sz w:val="20"/>
                <w:szCs w:val="20"/>
                <w:color w:val="auto"/>
              </w:rPr>
            </w:pPr>
            <w:r>
              <w:rPr>
                <w:rFonts w:ascii="Arial" w:cs="Arial" w:eastAsia="Arial" w:hAnsi="Arial"/>
                <w:sz w:val="14"/>
                <w:szCs w:val="14"/>
                <w:color w:val="auto"/>
              </w:rPr>
              <w:t>Other costs of revenue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16.2 %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6,351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13.7 %</w:t>
            </w:r>
          </w:p>
        </w:tc>
      </w:tr>
      <w:tr>
        <w:trPr>
          <w:trHeight w:val="212"/>
        </w:trPr>
        <w:tc>
          <w:tcPr>
            <w:tcW w:w="3600" w:type="dxa"/>
            <w:vAlign w:val="bottom"/>
          </w:tcPr>
          <w:p>
            <w:pPr>
              <w:ind w:left="120"/>
              <w:spacing w:after="0"/>
              <w:rPr>
                <w:sz w:val="20"/>
                <w:szCs w:val="20"/>
                <w:color w:val="auto"/>
              </w:rPr>
            </w:pPr>
            <w:r>
              <w:rPr>
                <w:rFonts w:ascii="Arial" w:cs="Arial" w:eastAsia="Arial" w:hAnsi="Arial"/>
                <w:sz w:val="14"/>
                <w:szCs w:val="14"/>
                <w:color w:val="auto"/>
              </w:rPr>
              <w:t xml:space="preserve">Field and technology operations </w:t>
            </w:r>
            <w:r>
              <w:rPr>
                <w:rFonts w:ascii="Arial" w:cs="Arial" w:eastAsia="Arial" w:hAnsi="Arial"/>
                <w:sz w:val="18"/>
                <w:szCs w:val="18"/>
                <w:color w:val="auto"/>
                <w:vertAlign w:val="superscript"/>
              </w:rPr>
              <w:t>(b)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1,291</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05"/>
        </w:trPr>
        <w:tc>
          <w:tcPr>
            <w:tcW w:w="3600" w:type="dxa"/>
            <w:vAlign w:val="bottom"/>
          </w:tcPr>
          <w:p>
            <w:pPr>
              <w:ind w:left="120"/>
              <w:spacing w:after="0" w:line="205" w:lineRule="exact"/>
              <w:rPr>
                <w:sz w:val="20"/>
                <w:szCs w:val="20"/>
                <w:color w:val="auto"/>
              </w:rPr>
            </w:pPr>
            <w:r>
              <w:rPr>
                <w:rFonts w:ascii="Arial" w:cs="Arial" w:eastAsia="Arial" w:hAnsi="Arial"/>
                <w:sz w:val="14"/>
                <w:szCs w:val="14"/>
                <w:color w:val="auto"/>
              </w:rPr>
              <w:t xml:space="preserve">Customer operations </w:t>
            </w:r>
            <w:r>
              <w:rPr>
                <w:rFonts w:ascii="Arial" w:cs="Arial" w:eastAsia="Arial" w:hAnsi="Arial"/>
                <w:sz w:val="18"/>
                <w:szCs w:val="18"/>
                <w:color w:val="auto"/>
                <w:vertAlign w:val="superscript"/>
              </w:rPr>
              <w:t>(b)</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818</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90"/>
        </w:trPr>
        <w:tc>
          <w:tcPr>
            <w:tcW w:w="3600" w:type="dxa"/>
            <w:vAlign w:val="bottom"/>
          </w:tcPr>
          <w:p>
            <w:pPr>
              <w:ind w:left="12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211"/>
        </w:trPr>
        <w:tc>
          <w:tcPr>
            <w:tcW w:w="3600" w:type="dxa"/>
            <w:vAlign w:val="bottom"/>
          </w:tcPr>
          <w:p>
            <w:pPr>
              <w:ind w:left="120"/>
              <w:spacing w:after="0"/>
              <w:rPr>
                <w:sz w:val="20"/>
                <w:szCs w:val="20"/>
                <w:color w:val="auto"/>
              </w:rPr>
            </w:pPr>
            <w:r>
              <w:rPr>
                <w:rFonts w:ascii="Arial" w:cs="Arial" w:eastAsia="Arial" w:hAnsi="Arial"/>
                <w:sz w:val="14"/>
                <w:szCs w:val="14"/>
                <w:color w:val="auto"/>
              </w:rPr>
              <w:t xml:space="preserve">Other expense </w:t>
            </w:r>
            <w:r>
              <w:rPr>
                <w:rFonts w:ascii="Arial" w:cs="Arial" w:eastAsia="Arial" w:hAnsi="Arial"/>
                <w:sz w:val="18"/>
                <w:szCs w:val="18"/>
                <w:color w:val="auto"/>
                <w:vertAlign w:val="superscript"/>
              </w:rPr>
              <w:t>(b)</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196"/>
        </w:trPr>
        <w:tc>
          <w:tcPr>
            <w:tcW w:w="3600" w:type="dxa"/>
            <w:vAlign w:val="bottom"/>
          </w:tcPr>
          <w:p>
            <w:pPr>
              <w:ind w:left="220"/>
              <w:spacing w:after="0" w:line="196" w:lineRule="exact"/>
              <w:rPr>
                <w:sz w:val="20"/>
                <w:szCs w:val="20"/>
                <w:color w:val="auto"/>
              </w:rPr>
            </w:pPr>
            <w:r>
              <w:rPr>
                <w:rFonts w:ascii="Arial" w:cs="Arial" w:eastAsia="Arial" w:hAnsi="Arial"/>
                <w:sz w:val="14"/>
                <w:szCs w:val="14"/>
                <w:color w:val="auto"/>
              </w:rPr>
              <w:t xml:space="preserve">Total operating costs and expenses </w:t>
            </w:r>
            <w:r>
              <w:rPr>
                <w:rFonts w:ascii="Arial" w:cs="Arial" w:eastAsia="Arial" w:hAnsi="Arial"/>
                <w:sz w:val="18"/>
                <w:szCs w:val="18"/>
                <w:color w:val="auto"/>
                <w:vertAlign w:val="superscript"/>
              </w:rPr>
              <w:t>(b)</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8,138</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32,516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331"/>
        </w:trPr>
        <w:tc>
          <w:tcPr>
            <w:tcW w:w="3600" w:type="dxa"/>
            <w:vAlign w:val="bottom"/>
          </w:tcPr>
          <w:p>
            <w:pPr>
              <w:spacing w:after="0"/>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5,760</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22,569</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3.1 %</w:t>
            </w:r>
          </w:p>
        </w:tc>
      </w:tr>
      <w:tr>
        <w:trPr>
          <w:trHeight w:val="20"/>
        </w:trPr>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using whole numbers. Minor differences may exist due to rounding.</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See footnotes on page 7.</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Addendum to Charter Communications, Inc. Fourth Quarter 2024 Earnings Release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7</w:t>
      </w:r>
    </w:p>
    <w:p>
      <w:pPr>
        <w:sectPr>
          <w:pgSz w:w="11900" w:h="16838" w:orient="portrait"/>
          <w:cols w:equalWidth="0" w:num="1">
            <w:col w:w="11240"/>
          </w:cols>
          <w:pgMar w:left="320" w:top="530" w:right="3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December 31,</w:t>
            </w:r>
          </w:p>
        </w:tc>
        <w:tc>
          <w:tcPr>
            <w:tcW w:w="240" w:type="dxa"/>
            <w:vAlign w:val="bottom"/>
          </w:tcPr>
          <w:p>
            <w:pPr>
              <w:spacing w:after="0"/>
              <w:rPr>
                <w:sz w:val="17"/>
                <w:szCs w:val="17"/>
                <w:color w:val="auto"/>
              </w:rPr>
            </w:pPr>
          </w:p>
        </w:tc>
        <w:tc>
          <w:tcPr>
            <w:tcW w:w="23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5"/>
        </w:trPr>
        <w:tc>
          <w:tcPr>
            <w:tcW w:w="59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2"/>
        </w:trPr>
        <w:tc>
          <w:tcPr>
            <w:tcW w:w="5900" w:type="dxa"/>
            <w:vAlign w:val="bottom"/>
          </w:tcPr>
          <w:p>
            <w:pPr>
              <w:spacing w:after="0"/>
              <w:rPr>
                <w:sz w:val="20"/>
                <w:szCs w:val="20"/>
                <w:color w:val="auto"/>
              </w:rPr>
            </w:pPr>
            <w:r>
              <w:rPr>
                <w:rFonts w:ascii="Arial" w:cs="Arial" w:eastAsia="Arial" w:hAnsi="Arial"/>
                <w:sz w:val="14"/>
                <w:szCs w:val="14"/>
                <w:color w:val="auto"/>
              </w:rPr>
              <w:t>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13,926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13,711</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55,085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54,607</w:t>
            </w:r>
          </w:p>
        </w:tc>
        <w:tc>
          <w:tcPr>
            <w:tcW w:w="0" w:type="dxa"/>
            <w:vAlign w:val="bottom"/>
          </w:tcPr>
          <w:p>
            <w:pPr>
              <w:spacing w:after="0"/>
              <w:rPr>
                <w:sz w:val="1"/>
                <w:szCs w:val="1"/>
                <w:color w:val="auto"/>
              </w:rPr>
            </w:pPr>
          </w:p>
        </w:tc>
      </w:tr>
      <w:tr>
        <w:trPr>
          <w:trHeight w:val="329"/>
        </w:trPr>
        <w:tc>
          <w:tcPr>
            <w:tcW w:w="5900" w:type="dxa"/>
            <w:vAlign w:val="bottom"/>
          </w:tcPr>
          <w:p>
            <w:pPr>
              <w:spacing w:after="0"/>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20"/>
              <w:spacing w:after="0"/>
              <w:rPr>
                <w:sz w:val="20"/>
                <w:szCs w:val="20"/>
                <w:color w:val="auto"/>
              </w:rPr>
            </w:pPr>
            <w:r>
              <w:rPr>
                <w:rFonts w:ascii="Arial" w:cs="Arial" w:eastAsia="Arial" w:hAnsi="Arial"/>
                <w:sz w:val="14"/>
                <w:szCs w:val="14"/>
                <w:color w:val="auto"/>
              </w:rPr>
              <w:t>Operating costs and expenses (exclusive of items shown separately below)</w:t>
            </w:r>
          </w:p>
        </w:tc>
        <w:tc>
          <w:tcPr>
            <w:tcW w:w="1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8,304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33,167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33,405</w:t>
            </w:r>
          </w:p>
        </w:tc>
        <w:tc>
          <w:tcPr>
            <w:tcW w:w="0" w:type="dxa"/>
            <w:vAlign w:val="bottom"/>
          </w:tcPr>
          <w:p>
            <w:pPr>
              <w:spacing w:after="0"/>
              <w:rPr>
                <w:sz w:val="1"/>
                <w:szCs w:val="1"/>
                <w:color w:val="auto"/>
              </w:rPr>
            </w:pPr>
          </w:p>
        </w:tc>
      </w:tr>
      <w:tr>
        <w:trPr>
          <w:trHeight w:val="203"/>
        </w:trPr>
        <w:tc>
          <w:tcPr>
            <w:tcW w:w="590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2,168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2,188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8,673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8,696</w:t>
            </w:r>
          </w:p>
        </w:tc>
        <w:tc>
          <w:tcPr>
            <w:tcW w:w="0" w:type="dxa"/>
            <w:vAlign w:val="bottom"/>
          </w:tcPr>
          <w:p>
            <w:pPr>
              <w:spacing w:after="0"/>
              <w:rPr>
                <w:sz w:val="1"/>
                <w:szCs w:val="1"/>
                <w:color w:val="auto"/>
              </w:rPr>
            </w:pPr>
          </w:p>
        </w:tc>
      </w:tr>
      <w:tr>
        <w:trPr>
          <w:trHeight w:val="207"/>
        </w:trPr>
        <w:tc>
          <w:tcPr>
            <w:tcW w:w="5900" w:type="dxa"/>
            <w:vAlign w:val="bottom"/>
          </w:tcPr>
          <w:p>
            <w:pPr>
              <w:ind w:left="120"/>
              <w:spacing w:after="0"/>
              <w:rPr>
                <w:sz w:val="20"/>
                <w:szCs w:val="20"/>
                <w:color w:val="auto"/>
              </w:rPr>
            </w:pPr>
            <w:r>
              <w:rPr>
                <w:rFonts w:ascii="Arial" w:cs="Arial" w:eastAsia="Arial" w:hAnsi="Arial"/>
                <w:sz w:val="14"/>
                <w:szCs w:val="14"/>
                <w:color w:val="auto"/>
              </w:rPr>
              <w:t>Other operating (income) expenses, net</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10,537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41,967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42,048</w:t>
            </w:r>
          </w:p>
        </w:tc>
        <w:tc>
          <w:tcPr>
            <w:tcW w:w="0" w:type="dxa"/>
            <w:vAlign w:val="bottom"/>
          </w:tcPr>
          <w:p>
            <w:pPr>
              <w:spacing w:after="0"/>
              <w:rPr>
                <w:sz w:val="1"/>
                <w:szCs w:val="1"/>
                <w:color w:val="auto"/>
              </w:rPr>
            </w:pPr>
          </w:p>
        </w:tc>
      </w:tr>
      <w:tr>
        <w:trPr>
          <w:trHeight w:val="196"/>
        </w:trPr>
        <w:tc>
          <w:tcPr>
            <w:tcW w:w="5900" w:type="dxa"/>
            <w:vAlign w:val="bottom"/>
          </w:tcPr>
          <w:p>
            <w:pPr>
              <w:ind w:left="220"/>
              <w:spacing w:after="0"/>
              <w:rPr>
                <w:sz w:val="20"/>
                <w:szCs w:val="20"/>
                <w:color w:val="auto"/>
              </w:rPr>
            </w:pPr>
            <w:r>
              <w:rPr>
                <w:rFonts w:ascii="Arial" w:cs="Arial" w:eastAsia="Arial" w:hAnsi="Arial"/>
                <w:sz w:val="14"/>
                <w:szCs w:val="14"/>
                <w:color w:val="auto"/>
              </w:rPr>
              <w:t>Income from operations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3,389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13,118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12,559</w:t>
            </w:r>
          </w:p>
        </w:tc>
        <w:tc>
          <w:tcPr>
            <w:tcW w:w="0" w:type="dxa"/>
            <w:vAlign w:val="bottom"/>
          </w:tcPr>
          <w:p>
            <w:pPr>
              <w:spacing w:after="0"/>
              <w:rPr>
                <w:sz w:val="1"/>
                <w:szCs w:val="1"/>
                <w:color w:val="auto"/>
              </w:rPr>
            </w:pPr>
          </w:p>
        </w:tc>
      </w:tr>
      <w:tr>
        <w:trPr>
          <w:trHeight w:val="329"/>
        </w:trPr>
        <w:tc>
          <w:tcPr>
            <w:tcW w:w="5900" w:type="dxa"/>
            <w:vAlign w:val="bottom"/>
          </w:tcPr>
          <w:p>
            <w:pPr>
              <w:spacing w:after="0"/>
              <w:rPr>
                <w:sz w:val="20"/>
                <w:szCs w:val="20"/>
                <w:color w:val="auto"/>
              </w:rPr>
            </w:pPr>
            <w:r>
              <w:rPr>
                <w:rFonts w:ascii="Arial" w:cs="Arial" w:eastAsia="Arial" w:hAnsi="Arial"/>
                <w:sz w:val="14"/>
                <w:szCs w:val="14"/>
                <w:color w:val="auto"/>
              </w:rPr>
              <w:t>OTHER INCOME (EXPENSES):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2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(5,188)</w:t>
            </w:r>
          </w:p>
        </w:tc>
        <w:tc>
          <w:tcPr>
            <w:tcW w:w="0" w:type="dxa"/>
            <w:vAlign w:val="bottom"/>
          </w:tcPr>
          <w:p>
            <w:pPr>
              <w:spacing w:after="0"/>
              <w:rPr>
                <w:sz w:val="1"/>
                <w:szCs w:val="1"/>
                <w:color w:val="auto"/>
              </w:rPr>
            </w:pPr>
          </w:p>
        </w:tc>
      </w:tr>
      <w:tr>
        <w:trPr>
          <w:trHeight w:val="207"/>
        </w:trPr>
        <w:tc>
          <w:tcPr>
            <w:tcW w:w="5900" w:type="dxa"/>
            <w:vAlign w:val="bottom"/>
          </w:tcPr>
          <w:p>
            <w:pPr>
              <w:ind w:left="120"/>
              <w:spacing w:after="0"/>
              <w:rPr>
                <w:sz w:val="20"/>
                <w:szCs w:val="20"/>
                <w:color w:val="auto"/>
              </w:rPr>
            </w:pPr>
            <w:r>
              <w:rPr>
                <w:rFonts w:ascii="Arial" w:cs="Arial" w:eastAsia="Arial" w:hAnsi="Arial"/>
                <w:sz w:val="14"/>
                <w:szCs w:val="14"/>
                <w:color w:val="auto"/>
              </w:rPr>
              <w:t>Other expenses, net</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(5,705)</w:t>
            </w:r>
          </w:p>
        </w:tc>
        <w:tc>
          <w:tcPr>
            <w:tcW w:w="0" w:type="dxa"/>
            <w:vAlign w:val="bottom"/>
          </w:tcPr>
          <w:p>
            <w:pPr>
              <w:spacing w:after="0"/>
              <w:rPr>
                <w:sz w:val="1"/>
                <w:szCs w:val="1"/>
                <w:color w:val="auto"/>
              </w:rPr>
            </w:pPr>
          </w:p>
        </w:tc>
      </w:tr>
      <w:tr>
        <w:trPr>
          <w:trHeight w:val="194"/>
        </w:trPr>
        <w:tc>
          <w:tcPr>
            <w:tcW w:w="590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1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2,046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7,502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6,854</w:t>
            </w:r>
          </w:p>
        </w:tc>
        <w:tc>
          <w:tcPr>
            <w:tcW w:w="0" w:type="dxa"/>
            <w:vAlign w:val="bottom"/>
          </w:tcPr>
          <w:p>
            <w:pPr>
              <w:spacing w:after="0"/>
              <w:rPr>
                <w:sz w:val="1"/>
                <w:szCs w:val="1"/>
                <w:color w:val="auto"/>
              </w:rPr>
            </w:pPr>
          </w:p>
        </w:tc>
      </w:tr>
      <w:tr>
        <w:trPr>
          <w:trHeight w:val="204"/>
        </w:trPr>
        <w:tc>
          <w:tcPr>
            <w:tcW w:w="5900" w:type="dxa"/>
            <w:vAlign w:val="bottom"/>
          </w:tcPr>
          <w:p>
            <w:pPr>
              <w:ind w:left="1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(1,593)</w:t>
            </w:r>
          </w:p>
        </w:tc>
        <w:tc>
          <w:tcPr>
            <w:tcW w:w="0" w:type="dxa"/>
            <w:vAlign w:val="bottom"/>
          </w:tcPr>
          <w:p>
            <w:pPr>
              <w:spacing w:after="0"/>
              <w:rPr>
                <w:sz w:val="1"/>
                <w:szCs w:val="1"/>
                <w:color w:val="auto"/>
              </w:rPr>
            </w:pPr>
          </w:p>
        </w:tc>
      </w:tr>
      <w:tr>
        <w:trPr>
          <w:trHeight w:val="194"/>
        </w:trPr>
        <w:tc>
          <w:tcPr>
            <w:tcW w:w="5900" w:type="dxa"/>
            <w:vAlign w:val="bottom"/>
          </w:tcPr>
          <w:p>
            <w:pPr>
              <w:spacing w:after="0"/>
              <w:rPr>
                <w:sz w:val="20"/>
                <w:szCs w:val="20"/>
                <w:color w:val="auto"/>
              </w:rPr>
            </w:pPr>
            <w:r>
              <w:rPr>
                <w:rFonts w:ascii="Arial" w:cs="Arial" w:eastAsia="Arial" w:hAnsi="Arial"/>
                <w:sz w:val="14"/>
                <w:szCs w:val="14"/>
                <w:color w:val="auto"/>
              </w:rPr>
              <w:t>Consolidated net income</w:t>
            </w:r>
          </w:p>
        </w:tc>
        <w:tc>
          <w:tcPr>
            <w:tcW w:w="1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5,853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5,261</w:t>
            </w:r>
          </w:p>
        </w:tc>
        <w:tc>
          <w:tcPr>
            <w:tcW w:w="0" w:type="dxa"/>
            <w:vAlign w:val="bottom"/>
          </w:tcPr>
          <w:p>
            <w:pPr>
              <w:spacing w:after="0"/>
              <w:rPr>
                <w:sz w:val="1"/>
                <w:szCs w:val="1"/>
                <w:color w:val="auto"/>
              </w:rPr>
            </w:pPr>
          </w:p>
        </w:tc>
      </w:tr>
      <w:tr>
        <w:trPr>
          <w:trHeight w:val="204"/>
        </w:trPr>
        <w:tc>
          <w:tcPr>
            <w:tcW w:w="5900" w:type="dxa"/>
            <w:vAlign w:val="bottom"/>
          </w:tcPr>
          <w:p>
            <w:pPr>
              <w:spacing w:after="0"/>
              <w:rPr>
                <w:sz w:val="20"/>
                <w:szCs w:val="20"/>
                <w:color w:val="auto"/>
              </w:rPr>
            </w:pPr>
            <w:r>
              <w:rPr>
                <w:rFonts w:ascii="Arial" w:cs="Arial" w:eastAsia="Arial" w:hAnsi="Arial"/>
                <w:sz w:val="14"/>
                <w:szCs w:val="14"/>
                <w:color w:val="auto"/>
              </w:rPr>
              <w:t>Less: Net income attributable to noncontrolling interests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20"/>
                <w:szCs w:val="20"/>
                <w:color w:val="auto"/>
              </w:rPr>
            </w:pPr>
            <w:r>
              <w:rPr>
                <w:rFonts w:ascii="Arial" w:cs="Arial" w:eastAsia="Arial" w:hAnsi="Arial"/>
                <w:sz w:val="14"/>
                <w:szCs w:val="14"/>
                <w:color w:val="auto"/>
              </w:rPr>
              <w:t>Net income attributable to Charter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5,083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27"/>
        </w:trPr>
        <w:tc>
          <w:tcPr>
            <w:tcW w:w="5900" w:type="dxa"/>
            <w:vAlign w:val="bottom"/>
            <w:vMerge w:val="restart"/>
          </w:tcPr>
          <w:p>
            <w:pPr>
              <w:spacing w:after="0"/>
              <w:rPr>
                <w:sz w:val="20"/>
                <w:szCs w:val="20"/>
                <w:color w:val="auto"/>
              </w:rPr>
            </w:pPr>
            <w:r>
              <w:rPr>
                <w:rFonts w:ascii="Arial" w:cs="Arial" w:eastAsia="Arial" w:hAnsi="Arial"/>
                <w:sz w:val="14"/>
                <w:szCs w:val="14"/>
                <w:color w:val="auto"/>
              </w:rPr>
              <w:t>EARNINGS PER COMMON SHARE ATTRIBUTABLE TO CHARTER SHAREHOLDERS:</w:t>
            </w: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5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900" w:type="dxa"/>
            <w:vAlign w:val="bottom"/>
          </w:tcPr>
          <w:p>
            <w:pPr>
              <w:ind w:left="120"/>
              <w:spacing w:after="0"/>
              <w:rPr>
                <w:sz w:val="20"/>
                <w:szCs w:val="20"/>
                <w:color w:val="auto"/>
              </w:rPr>
            </w:pPr>
            <w:r>
              <w:rPr>
                <w:rFonts w:ascii="Arial" w:cs="Arial" w:eastAsia="Arial" w:hAnsi="Arial"/>
                <w:sz w:val="14"/>
                <w:szCs w:val="14"/>
                <w:color w:val="auto"/>
              </w:rPr>
              <w:t>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35.53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30.54</w:t>
            </w:r>
          </w:p>
        </w:tc>
        <w:tc>
          <w:tcPr>
            <w:tcW w:w="0" w:type="dxa"/>
            <w:vAlign w:val="bottom"/>
          </w:tcPr>
          <w:p>
            <w:pPr>
              <w:spacing w:after="0"/>
              <w:rPr>
                <w:sz w:val="1"/>
                <w:szCs w:val="1"/>
                <w:color w:val="auto"/>
              </w:rPr>
            </w:pPr>
          </w:p>
        </w:tc>
      </w:tr>
      <w:tr>
        <w:trPr>
          <w:trHeight w:val="27"/>
        </w:trPr>
        <w:tc>
          <w:tcPr>
            <w:tcW w:w="5900" w:type="dxa"/>
            <w:vAlign w:val="bottom"/>
            <w:vMerge w:val="restart"/>
          </w:tcPr>
          <w:p>
            <w:pPr>
              <w:ind w:left="120"/>
              <w:spacing w:after="0"/>
              <w:rPr>
                <w:sz w:val="20"/>
                <w:szCs w:val="20"/>
                <w:color w:val="auto"/>
              </w:rPr>
            </w:pPr>
            <w:r>
              <w:rPr>
                <w:rFonts w:ascii="Arial" w:cs="Arial" w:eastAsia="Arial" w:hAnsi="Arial"/>
                <w:sz w:val="14"/>
                <w:szCs w:val="14"/>
                <w:color w:val="auto"/>
              </w:rPr>
              <w:t>Diluted</w:t>
            </w: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00" w:type="dxa"/>
            <w:vAlign w:val="bottom"/>
            <w:vMerge w:val="continue"/>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34.97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29.99</w:t>
            </w:r>
          </w:p>
        </w:tc>
        <w:tc>
          <w:tcPr>
            <w:tcW w:w="0" w:type="dxa"/>
            <w:vAlign w:val="bottom"/>
          </w:tcPr>
          <w:p>
            <w:pPr>
              <w:spacing w:after="0"/>
              <w:rPr>
                <w:sz w:val="1"/>
                <w:szCs w:val="1"/>
                <w:color w:val="auto"/>
              </w:rPr>
            </w:pPr>
          </w:p>
        </w:tc>
      </w:tr>
      <w:tr>
        <w:trPr>
          <w:trHeight w:val="27"/>
        </w:trPr>
        <w:tc>
          <w:tcPr>
            <w:tcW w:w="5900" w:type="dxa"/>
            <w:vAlign w:val="bottom"/>
            <w:vMerge w:val="restart"/>
          </w:tcPr>
          <w:p>
            <w:pPr>
              <w:ind w:left="120"/>
              <w:spacing w:after="0"/>
              <w:rPr>
                <w:sz w:val="20"/>
                <w:szCs w:val="20"/>
                <w:color w:val="auto"/>
              </w:rPr>
            </w:pPr>
            <w:r>
              <w:rPr>
                <w:rFonts w:ascii="Arial" w:cs="Arial" w:eastAsia="Arial" w:hAnsi="Arial"/>
                <w:sz w:val="14"/>
                <w:szCs w:val="14"/>
                <w:color w:val="auto"/>
              </w:rPr>
              <w:t>Weighted average common shares outstanding, basic</w:t>
            </w: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142,115,129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146,356,269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143,061,337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149,208,188</w:t>
            </w:r>
          </w:p>
        </w:tc>
        <w:tc>
          <w:tcPr>
            <w:tcW w:w="0" w:type="dxa"/>
            <w:vAlign w:val="bottom"/>
          </w:tcPr>
          <w:p>
            <w:pPr>
              <w:spacing w:after="0"/>
              <w:rPr>
                <w:sz w:val="1"/>
                <w:szCs w:val="1"/>
                <w:color w:val="auto"/>
              </w:rPr>
            </w:pPr>
          </w:p>
        </w:tc>
      </w:tr>
      <w:tr>
        <w:trPr>
          <w:trHeight w:val="27"/>
        </w:trPr>
        <w:tc>
          <w:tcPr>
            <w:tcW w:w="5900" w:type="dxa"/>
            <w:vAlign w:val="bottom"/>
            <w:vMerge w:val="restart"/>
          </w:tcPr>
          <w:p>
            <w:pPr>
              <w:ind w:left="120"/>
              <w:spacing w:after="0"/>
              <w:rPr>
                <w:sz w:val="20"/>
                <w:szCs w:val="20"/>
                <w:color w:val="auto"/>
              </w:rPr>
            </w:pPr>
            <w:r>
              <w:rPr>
                <w:rFonts w:ascii="Arial" w:cs="Arial" w:eastAsia="Arial" w:hAnsi="Arial"/>
                <w:sz w:val="14"/>
                <w:szCs w:val="14"/>
                <w:color w:val="auto"/>
              </w:rPr>
              <w:t>Weighted average common shares outstanding, diluted</w:t>
            </w: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9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145,269,468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149,651,479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145,363,771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151,966,313</w:t>
            </w:r>
          </w:p>
        </w:tc>
        <w:tc>
          <w:tcPr>
            <w:tcW w:w="0" w:type="dxa"/>
            <w:vAlign w:val="bottom"/>
          </w:tcPr>
          <w:p>
            <w:pPr>
              <w:spacing w:after="0"/>
              <w:rPr>
                <w:sz w:val="1"/>
                <w:szCs w:val="1"/>
                <w:color w:val="auto"/>
              </w:rPr>
            </w:pPr>
          </w:p>
        </w:tc>
      </w:tr>
      <w:tr>
        <w:trPr>
          <w:trHeight w:val="25"/>
        </w:trPr>
        <w:tc>
          <w:tcPr>
            <w:tcW w:w="5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Addendum to Charter Communications, Inc. Fourth Quarter 2024 Earnings Release</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2 of 7</w:t>
      </w:r>
    </w:p>
    <w:p>
      <w:pPr>
        <w:sectPr>
          <w:pgSz w:w="11900" w:h="16838" w:orient="portrait"/>
          <w:cols w:equalWidth="0" w:num="1">
            <w:col w:w="11180"/>
          </w:cols>
          <w:pgMar w:left="360" w:top="773" w:right="35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CURRENT ASSETS:</w:t>
      </w:r>
    </w:p>
    <w:p>
      <w:pPr>
        <w:spacing w:after="0" w:line="42" w:lineRule="exact"/>
        <w:rPr>
          <w:sz w:val="20"/>
          <w:szCs w:val="20"/>
          <w:color w:val="auto"/>
        </w:rPr>
      </w:pPr>
    </w:p>
    <w:p>
      <w:pPr>
        <w:ind w:left="200" w:right="1040"/>
        <w:spacing w:after="0" w:line="301" w:lineRule="auto"/>
        <w:rPr>
          <w:sz w:val="20"/>
          <w:szCs w:val="20"/>
          <w:color w:val="auto"/>
        </w:rPr>
      </w:pPr>
      <w:r>
        <w:rPr>
          <w:rFonts w:ascii="Arial" w:cs="Arial" w:eastAsia="Arial" w:hAnsi="Arial"/>
          <w:sz w:val="14"/>
          <w:szCs w:val="14"/>
          <w:color w:val="auto"/>
        </w:rPr>
        <w:t>Cash and cash equivalents Accounts receivable, net</w:t>
      </w:r>
    </w:p>
    <w:p>
      <w:pPr>
        <w:spacing w:after="0" w:line="1" w:lineRule="exact"/>
        <w:rPr>
          <w:sz w:val="20"/>
          <w:szCs w:val="20"/>
          <w:color w:val="auto"/>
        </w:rPr>
      </w:pPr>
    </w:p>
    <w:p>
      <w:pPr>
        <w:ind w:left="460" w:right="20" w:hanging="242"/>
        <w:spacing w:after="0" w:line="365" w:lineRule="auto"/>
        <w:rPr>
          <w:sz w:val="20"/>
          <w:szCs w:val="20"/>
          <w:color w:val="auto"/>
        </w:rPr>
      </w:pPr>
      <w:r>
        <w:rPr>
          <w:rFonts w:ascii="Arial" w:cs="Arial" w:eastAsia="Arial" w:hAnsi="Arial"/>
          <w:sz w:val="14"/>
          <w:szCs w:val="14"/>
          <w:color w:val="auto"/>
        </w:rPr>
        <w:t>Prepaid expenses and other current assets Total current assets</w:t>
      </w:r>
    </w:p>
    <w:p>
      <w:pPr>
        <w:spacing w:after="0" w:line="145" w:lineRule="exact"/>
        <w:rPr>
          <w:sz w:val="20"/>
          <w:szCs w:val="20"/>
          <w:color w:val="auto"/>
        </w:rPr>
      </w:pPr>
    </w:p>
    <w:p>
      <w:pPr>
        <w:ind w:left="200" w:right="340" w:hanging="201"/>
        <w:spacing w:after="0" w:line="325" w:lineRule="auto"/>
        <w:rPr>
          <w:sz w:val="20"/>
          <w:szCs w:val="20"/>
          <w:color w:val="auto"/>
        </w:rPr>
      </w:pPr>
      <w:r>
        <w:rPr>
          <w:rFonts w:ascii="Arial" w:cs="Arial" w:eastAsia="Arial" w:hAnsi="Arial"/>
          <w:sz w:val="14"/>
          <w:szCs w:val="14"/>
          <w:color w:val="auto"/>
        </w:rPr>
        <w:t>INVESTMENT IN CABLE PROPERTIES: Property, plant and equipment, net Customer relationships, net Franchises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Goodwill</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Total investment in cable properties, net</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OTHER NONCURRENT ASSETS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jc w:val="center"/>
        <w:ind w:right="3420"/>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ind w:right="34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(dollars in millions)</w:t>
      </w:r>
    </w:p>
    <w:p>
      <w:pPr>
        <w:spacing w:after="0" w:line="277"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December 31,</w:t>
      </w:r>
    </w:p>
    <w:p>
      <w:pPr>
        <w:spacing w:after="0" w:line="3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r>
      <w:tr>
        <w:trPr>
          <w:trHeight w:val="181"/>
        </w:trPr>
        <w:tc>
          <w:tcPr>
            <w:tcW w:w="43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99"/>
        </w:trPr>
        <w:tc>
          <w:tcPr>
            <w:tcW w:w="4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709</w:t>
            </w:r>
          </w:p>
        </w:tc>
      </w:tr>
      <w:tr>
        <w:trPr>
          <w:trHeight w:val="203"/>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3,097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2,965</w:t>
            </w:r>
          </w:p>
        </w:tc>
      </w:tr>
      <w:tr>
        <w:trPr>
          <w:trHeight w:val="207"/>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w:t>
            </w:r>
          </w:p>
        </w:tc>
      </w:tr>
      <w:tr>
        <w:trPr>
          <w:trHeight w:val="196"/>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4,233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4,132</w:t>
            </w:r>
          </w:p>
        </w:tc>
      </w:tr>
      <w:tr>
        <w:trPr>
          <w:trHeight w:val="597"/>
        </w:trPr>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42,913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39,520</w:t>
            </w:r>
          </w:p>
        </w:tc>
      </w:tr>
      <w:tr>
        <w:trPr>
          <w:trHeight w:val="203"/>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1,745</w:t>
            </w:r>
          </w:p>
        </w:tc>
      </w:tr>
      <w:tr>
        <w:trPr>
          <w:trHeight w:val="203"/>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67,462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67,396</w:t>
            </w:r>
          </w:p>
        </w:tc>
      </w:tr>
      <w:tr>
        <w:trPr>
          <w:trHeight w:val="207"/>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29,674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29,668</w:t>
            </w:r>
          </w:p>
        </w:tc>
      </w:tr>
      <w:tr>
        <w:trPr>
          <w:trHeight w:val="196"/>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138,329</w:t>
            </w:r>
          </w:p>
        </w:tc>
      </w:tr>
      <w:tr>
        <w:trPr>
          <w:trHeight w:val="398"/>
        </w:trPr>
        <w:tc>
          <w:tcPr>
            <w:tcW w:w="4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4,763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4,732</w:t>
            </w:r>
          </w:p>
        </w:tc>
      </w:tr>
      <w:tr>
        <w:trPr>
          <w:trHeight w:val="399"/>
        </w:trPr>
        <w:tc>
          <w:tcPr>
            <w:tcW w:w="4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150,020</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147,193</w:t>
            </w:r>
          </w:p>
        </w:tc>
      </w:tr>
      <w:tr>
        <w:trPr>
          <w:trHeight w:val="24"/>
        </w:trPr>
        <w:tc>
          <w:tcPr>
            <w:tcW w:w="43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r>
    </w:tbl>
    <w:p>
      <w:pPr>
        <w:spacing w:after="0" w:line="193" w:lineRule="exact"/>
        <w:rPr>
          <w:sz w:val="20"/>
          <w:szCs w:val="20"/>
          <w:color w:val="auto"/>
        </w:rPr>
      </w:pPr>
    </w:p>
    <w:p>
      <w:pPr>
        <w:sectPr>
          <w:pgSz w:w="11900" w:h="16838" w:orient="portrait"/>
          <w:cols w:equalWidth="0" w:num="2">
            <w:col w:w="2980" w:space="420"/>
            <w:col w:w="7780"/>
          </w:cols>
          <w:pgMar w:left="360" w:top="773" w:right="359" w:bottom="1440" w:gutter="0" w:footer="0" w:header="0"/>
        </w:sectPr>
      </w:pPr>
    </w:p>
    <w:tbl>
      <w:tblPr>
        <w:tblLayout w:type="fixed"/>
        <w:tblInd w:w="0" w:type="dxa"/>
        <w:tblCellMar>
          <w:top w:w="0" w:type="dxa"/>
          <w:left w:w="0" w:type="dxa"/>
          <w:bottom w:w="0" w:type="dxa"/>
          <w:right w:w="0" w:type="dxa"/>
        </w:tblCellMar>
      </w:tblPr>
      <w:tr>
        <w:trPr>
          <w:trHeight w:val="196"/>
        </w:trPr>
        <w:tc>
          <w:tcPr>
            <w:tcW w:w="8080" w:type="dxa"/>
            <w:vAlign w:val="bottom"/>
          </w:tcPr>
          <w:p>
            <w:pPr>
              <w:ind w:left="2520"/>
              <w:spacing w:after="0"/>
              <w:rPr>
                <w:sz w:val="20"/>
                <w:szCs w:val="20"/>
                <w:color w:val="auto"/>
              </w:rPr>
            </w:pPr>
            <w:r>
              <w:rPr>
                <w:rFonts w:ascii="Arial" w:cs="Arial" w:eastAsia="Arial" w:hAnsi="Arial"/>
                <w:sz w:val="14"/>
                <w:szCs w:val="14"/>
                <w:b w:val="1"/>
                <w:bCs w:val="1"/>
                <w:color w:val="auto"/>
              </w:rPr>
              <w:t>LIABILITIES AND SHAREHOLDERS' EQUITY</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7"/>
        </w:trPr>
        <w:tc>
          <w:tcPr>
            <w:tcW w:w="8080" w:type="dxa"/>
            <w:vAlign w:val="bottom"/>
          </w:tcPr>
          <w:p>
            <w:pPr>
              <w:spacing w:after="0"/>
              <w:rPr>
                <w:sz w:val="20"/>
                <w:szCs w:val="20"/>
                <w:color w:val="auto"/>
              </w:rPr>
            </w:pPr>
            <w:r>
              <w:rPr>
                <w:rFonts w:ascii="Arial" w:cs="Arial" w:eastAsia="Arial" w:hAnsi="Arial"/>
                <w:sz w:val="14"/>
                <w:szCs w:val="14"/>
                <w:color w:val="auto"/>
              </w:rPr>
              <w:t>CURRENT LIABILITIES:</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8080" w:type="dxa"/>
            <w:vAlign w:val="bottom"/>
          </w:tcPr>
          <w:p>
            <w:pPr>
              <w:ind w:left="200"/>
              <w:spacing w:after="0"/>
              <w:rPr>
                <w:sz w:val="20"/>
                <w:szCs w:val="20"/>
                <w:color w:val="auto"/>
              </w:rPr>
            </w:pPr>
            <w:r>
              <w:rPr>
                <w:rFonts w:ascii="Arial" w:cs="Arial" w:eastAsia="Arial" w:hAnsi="Arial"/>
                <w:sz w:val="14"/>
                <w:szCs w:val="14"/>
                <w:color w:val="auto"/>
              </w:rPr>
              <w:t>Accounts payable, accrued and other current liabilities</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11,687</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11,214</w:t>
            </w:r>
          </w:p>
        </w:tc>
      </w:tr>
      <w:tr>
        <w:trPr>
          <w:trHeight w:val="204"/>
        </w:trPr>
        <w:tc>
          <w:tcPr>
            <w:tcW w:w="8080" w:type="dxa"/>
            <w:vAlign w:val="bottom"/>
          </w:tcPr>
          <w:p>
            <w:pPr>
              <w:ind w:left="200"/>
              <w:spacing w:after="0"/>
              <w:rPr>
                <w:sz w:val="20"/>
                <w:szCs w:val="20"/>
                <w:color w:val="auto"/>
              </w:rPr>
            </w:pPr>
            <w:r>
              <w:rPr>
                <w:rFonts w:ascii="Arial" w:cs="Arial" w:eastAsia="Arial" w:hAnsi="Arial"/>
                <w:sz w:val="14"/>
                <w:szCs w:val="14"/>
                <w:color w:val="auto"/>
              </w:rPr>
              <w:t>Current portion of long-term debt</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1,799</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w:t>
            </w:r>
          </w:p>
        </w:tc>
      </w:tr>
      <w:tr>
        <w:trPr>
          <w:trHeight w:val="198"/>
        </w:trPr>
        <w:tc>
          <w:tcPr>
            <w:tcW w:w="808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13,486</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13,214</w:t>
            </w:r>
          </w:p>
        </w:tc>
      </w:tr>
      <w:tr>
        <w:trPr>
          <w:trHeight w:val="396"/>
        </w:trPr>
        <w:tc>
          <w:tcPr>
            <w:tcW w:w="8080" w:type="dxa"/>
            <w:vAlign w:val="bottom"/>
          </w:tcPr>
          <w:p>
            <w:pPr>
              <w:spacing w:after="0"/>
              <w:rPr>
                <w:sz w:val="20"/>
                <w:szCs w:val="20"/>
                <w:color w:val="auto"/>
              </w:rPr>
            </w:pPr>
            <w:r>
              <w:rPr>
                <w:rFonts w:ascii="Arial" w:cs="Arial" w:eastAsia="Arial" w:hAnsi="Arial"/>
                <w:sz w:val="14"/>
                <w:szCs w:val="14"/>
                <w:color w:val="auto"/>
              </w:rPr>
              <w:t>LONG-TERM DEBT</w:t>
            </w: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92,134</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95,777</w:t>
            </w:r>
          </w:p>
        </w:tc>
      </w:tr>
      <w:tr>
        <w:trPr>
          <w:trHeight w:val="196"/>
        </w:trPr>
        <w:tc>
          <w:tcPr>
            <w:tcW w:w="8080" w:type="dxa"/>
            <w:vAlign w:val="bottom"/>
          </w:tcPr>
          <w:p>
            <w:pPr>
              <w:spacing w:after="0"/>
              <w:rPr>
                <w:sz w:val="20"/>
                <w:szCs w:val="20"/>
                <w:color w:val="auto"/>
              </w:rPr>
            </w:pPr>
            <w:r>
              <w:rPr>
                <w:rFonts w:ascii="Arial" w:cs="Arial" w:eastAsia="Arial" w:hAnsi="Arial"/>
                <w:sz w:val="14"/>
                <w:szCs w:val="14"/>
                <w:color w:val="auto"/>
              </w:rPr>
              <w:t>EQUIPMENT INSTALLMENT PLAN FINANCING FACILITY</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080" w:type="dxa"/>
            <w:vAlign w:val="bottom"/>
          </w:tcPr>
          <w:p>
            <w:pPr>
              <w:spacing w:after="0"/>
              <w:rPr>
                <w:sz w:val="20"/>
                <w:szCs w:val="20"/>
                <w:color w:val="auto"/>
              </w:rPr>
            </w:pPr>
            <w:r>
              <w:rPr>
                <w:rFonts w:ascii="Arial" w:cs="Arial" w:eastAsia="Arial" w:hAnsi="Arial"/>
                <w:sz w:val="14"/>
                <w:szCs w:val="14"/>
                <w:color w:val="auto"/>
              </w:rPr>
              <w:t>DEFERRED INCOME TAXES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18,845</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18,954</w:t>
            </w:r>
          </w:p>
        </w:tc>
      </w:tr>
      <w:tr>
        <w:trPr>
          <w:trHeight w:val="196"/>
        </w:trPr>
        <w:tc>
          <w:tcPr>
            <w:tcW w:w="808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4,776</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4,530</w:t>
            </w:r>
          </w:p>
        </w:tc>
      </w:tr>
      <w:tr>
        <w:trPr>
          <w:trHeight w:val="397"/>
        </w:trPr>
        <w:tc>
          <w:tcPr>
            <w:tcW w:w="8080" w:type="dxa"/>
            <w:vAlign w:val="bottom"/>
          </w:tcPr>
          <w:p>
            <w:pPr>
              <w:spacing w:after="0"/>
              <w:rPr>
                <w:sz w:val="20"/>
                <w:szCs w:val="20"/>
                <w:color w:val="auto"/>
              </w:rPr>
            </w:pPr>
            <w:r>
              <w:rPr>
                <w:rFonts w:ascii="Arial" w:cs="Arial" w:eastAsia="Arial" w:hAnsi="Arial"/>
                <w:sz w:val="14"/>
                <w:szCs w:val="14"/>
                <w:color w:val="auto"/>
              </w:rPr>
              <w:t>SHAREHOLDERS' EQUITY:</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8080" w:type="dxa"/>
            <w:vAlign w:val="bottom"/>
          </w:tcPr>
          <w:p>
            <w:pPr>
              <w:ind w:left="200"/>
              <w:spacing w:after="0"/>
              <w:rPr>
                <w:sz w:val="20"/>
                <w:szCs w:val="20"/>
                <w:color w:val="auto"/>
              </w:rPr>
            </w:pPr>
            <w:r>
              <w:rPr>
                <w:rFonts w:ascii="Arial" w:cs="Arial" w:eastAsia="Arial" w:hAnsi="Arial"/>
                <w:sz w:val="14"/>
                <w:szCs w:val="14"/>
                <w:color w:val="auto"/>
              </w:rPr>
              <w:t>Controlling interest</w:t>
            </w:r>
          </w:p>
        </w:tc>
        <w:tc>
          <w:tcPr>
            <w:tcW w:w="5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15,587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11,086</w:t>
            </w:r>
          </w:p>
        </w:tc>
      </w:tr>
      <w:tr>
        <w:trPr>
          <w:trHeight w:val="204"/>
        </w:trPr>
        <w:tc>
          <w:tcPr>
            <w:tcW w:w="8080" w:type="dxa"/>
            <w:vAlign w:val="bottom"/>
          </w:tcPr>
          <w:p>
            <w:pPr>
              <w:ind w:left="200"/>
              <w:spacing w:after="0"/>
              <w:rPr>
                <w:sz w:val="20"/>
                <w:szCs w:val="20"/>
                <w:color w:val="auto"/>
              </w:rPr>
            </w:pPr>
            <w:r>
              <w:rPr>
                <w:rFonts w:ascii="Arial" w:cs="Arial" w:eastAsia="Arial" w:hAnsi="Arial"/>
                <w:sz w:val="14"/>
                <w:szCs w:val="14"/>
                <w:color w:val="auto"/>
              </w:rPr>
              <w:t>Noncontrolling interests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4,120</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3,632</w:t>
            </w:r>
          </w:p>
        </w:tc>
      </w:tr>
      <w:tr>
        <w:trPr>
          <w:trHeight w:val="198"/>
        </w:trPr>
        <w:tc>
          <w:tcPr>
            <w:tcW w:w="8080" w:type="dxa"/>
            <w:vAlign w:val="bottom"/>
          </w:tcPr>
          <w:p>
            <w:pPr>
              <w:ind w:left="460"/>
              <w:spacing w:after="0"/>
              <w:rPr>
                <w:sz w:val="20"/>
                <w:szCs w:val="20"/>
                <w:color w:val="auto"/>
              </w:rPr>
            </w:pPr>
            <w:r>
              <w:rPr>
                <w:rFonts w:ascii="Arial" w:cs="Arial" w:eastAsia="Arial" w:hAnsi="Arial"/>
                <w:sz w:val="14"/>
                <w:szCs w:val="14"/>
                <w:color w:val="auto"/>
              </w:rPr>
              <w:t>Total shareholders' equity</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19,707</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14,718</w:t>
            </w:r>
          </w:p>
        </w:tc>
      </w:tr>
      <w:tr>
        <w:trPr>
          <w:trHeight w:val="403"/>
        </w:trPr>
        <w:tc>
          <w:tcPr>
            <w:tcW w:w="8080" w:type="dxa"/>
            <w:vAlign w:val="bottom"/>
          </w:tcPr>
          <w:p>
            <w:pPr>
              <w:ind w:left="460"/>
              <w:spacing w:after="0"/>
              <w:rPr>
                <w:sz w:val="20"/>
                <w:szCs w:val="20"/>
                <w:color w:val="auto"/>
              </w:rPr>
            </w:pPr>
            <w:r>
              <w:rPr>
                <w:rFonts w:ascii="Arial" w:cs="Arial" w:eastAsia="Arial" w:hAnsi="Arial"/>
                <w:sz w:val="14"/>
                <w:szCs w:val="14"/>
                <w:color w:val="auto"/>
              </w:rPr>
              <w:t>Total liabilities and shareholders' equity</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150,020</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147,193</w:t>
            </w:r>
          </w:p>
        </w:tc>
      </w:tr>
      <w:tr>
        <w:trPr>
          <w:trHeight w:val="20"/>
        </w:trPr>
        <w:tc>
          <w:tcPr>
            <w:tcW w:w="8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Addendum to Charter Communications, Inc. Fourth Quarter 2024 Earnings Release</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3 of 7</w:t>
      </w:r>
    </w:p>
    <w:p>
      <w:pPr>
        <w:sectPr>
          <w:pgSz w:w="11900" w:h="16838" w:orient="portrait"/>
          <w:cols w:equalWidth="0" w:num="1">
            <w:col w:w="11180"/>
          </w:cols>
          <w:pgMar w:left="360" w:top="773" w:right="35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26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7"/>
                <w:szCs w:val="17"/>
                <w:color w:val="auto"/>
              </w:rPr>
            </w:pPr>
          </w:p>
        </w:tc>
        <w:tc>
          <w:tcPr>
            <w:tcW w:w="23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5"/>
        </w:trPr>
        <w:tc>
          <w:tcPr>
            <w:tcW w:w="59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77"/>
        </w:trPr>
        <w:tc>
          <w:tcPr>
            <w:tcW w:w="592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Consolidated 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1,676</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1,229</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5,853</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5,261</w:t>
            </w:r>
          </w:p>
        </w:tc>
        <w:tc>
          <w:tcPr>
            <w:tcW w:w="0" w:type="dxa"/>
            <w:vAlign w:val="bottom"/>
          </w:tcPr>
          <w:p>
            <w:pPr>
              <w:spacing w:after="0"/>
              <w:rPr>
                <w:sz w:val="1"/>
                <w:szCs w:val="1"/>
                <w:color w:val="auto"/>
              </w:rPr>
            </w:pPr>
          </w:p>
        </w:tc>
      </w:tr>
      <w:tr>
        <w:trPr>
          <w:trHeight w:val="161"/>
        </w:trPr>
        <w:tc>
          <w:tcPr>
            <w:tcW w:w="5920" w:type="dxa"/>
            <w:vAlign w:val="bottom"/>
          </w:tcPr>
          <w:p>
            <w:pPr>
              <w:ind w:left="120"/>
              <w:spacing w:after="0"/>
              <w:rPr>
                <w:sz w:val="20"/>
                <w:szCs w:val="20"/>
                <w:color w:val="auto"/>
              </w:rPr>
            </w:pPr>
            <w:r>
              <w:rPr>
                <w:rFonts w:ascii="Arial" w:cs="Arial" w:eastAsia="Arial" w:hAnsi="Arial"/>
                <w:sz w:val="14"/>
                <w:szCs w:val="14"/>
                <w:color w:val="auto"/>
              </w:rPr>
              <w:t>Adjustments to reconcile consolidated net income to net cash flows from operating</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920" w:type="dxa"/>
            <w:vAlign w:val="bottom"/>
          </w:tcPr>
          <w:p>
            <w:pPr>
              <w:ind w:left="120"/>
              <w:spacing w:after="0"/>
              <w:rPr>
                <w:sz w:val="20"/>
                <w:szCs w:val="20"/>
                <w:color w:val="auto"/>
              </w:rPr>
            </w:pPr>
            <w:r>
              <w:rPr>
                <w:rFonts w:ascii="Arial" w:cs="Arial" w:eastAsia="Arial" w:hAnsi="Arial"/>
                <w:sz w:val="14"/>
                <w:szCs w:val="14"/>
                <w:color w:val="auto"/>
              </w:rPr>
              <w:t>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8,673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8,696</w:t>
            </w:r>
          </w:p>
        </w:tc>
        <w:tc>
          <w:tcPr>
            <w:tcW w:w="0" w:type="dxa"/>
            <w:vAlign w:val="bottom"/>
          </w:tcPr>
          <w:p>
            <w:pPr>
              <w:spacing w:after="0"/>
              <w:rPr>
                <w:sz w:val="1"/>
                <w:szCs w:val="1"/>
                <w:color w:val="auto"/>
              </w:rPr>
            </w:pPr>
          </w:p>
        </w:tc>
      </w:tr>
      <w:tr>
        <w:trPr>
          <w:trHeight w:val="203"/>
        </w:trPr>
        <w:tc>
          <w:tcPr>
            <w:tcW w:w="5920" w:type="dxa"/>
            <w:vAlign w:val="bottom"/>
          </w:tcPr>
          <w:p>
            <w:pPr>
              <w:ind w:left="200"/>
              <w:spacing w:after="0"/>
              <w:rPr>
                <w:sz w:val="20"/>
                <w:szCs w:val="20"/>
                <w:color w:val="auto"/>
              </w:rPr>
            </w:pPr>
            <w:r>
              <w:rPr>
                <w:rFonts w:ascii="Arial" w:cs="Arial" w:eastAsia="Arial" w:hAnsi="Arial"/>
                <w:sz w:val="14"/>
                <w:szCs w:val="14"/>
                <w:color w:val="auto"/>
              </w:rPr>
              <w:t>Stock compensation expense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203"/>
        </w:trPr>
        <w:tc>
          <w:tcPr>
            <w:tcW w:w="5920" w:type="dxa"/>
            <w:vAlign w:val="bottom"/>
          </w:tcPr>
          <w:p>
            <w:pPr>
              <w:ind w:left="200"/>
              <w:spacing w:after="0"/>
              <w:rPr>
                <w:sz w:val="20"/>
                <w:szCs w:val="20"/>
                <w:color w:val="auto"/>
              </w:rPr>
            </w:pPr>
            <w:r>
              <w:rPr>
                <w:rFonts w:ascii="Arial" w:cs="Arial" w:eastAsia="Arial" w:hAnsi="Arial"/>
                <w:sz w:val="14"/>
                <w:szCs w:val="14"/>
                <w:color w:val="auto"/>
              </w:rPr>
              <w:t>Noncash interest, net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592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3"/>
        </w:trPr>
        <w:tc>
          <w:tcPr>
            <w:tcW w:w="5920" w:type="dxa"/>
            <w:vAlign w:val="bottom"/>
          </w:tcPr>
          <w:p>
            <w:pPr>
              <w:ind w:left="200"/>
              <w:spacing w:after="0"/>
              <w:rPr>
                <w:sz w:val="20"/>
                <w:szCs w:val="20"/>
                <w:color w:val="auto"/>
              </w:rPr>
            </w:pPr>
            <w:r>
              <w:rPr>
                <w:rFonts w:ascii="Arial" w:cs="Arial" w:eastAsia="Arial" w:hAnsi="Arial"/>
                <w:sz w:val="14"/>
                <w:szCs w:val="14"/>
                <w:color w:val="auto"/>
              </w:rPr>
              <w:t>Other, net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61"/>
        </w:trPr>
        <w:tc>
          <w:tcPr>
            <w:tcW w:w="592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 net of effects from acquisitions and</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920" w:type="dxa"/>
            <w:vAlign w:val="bottom"/>
          </w:tcPr>
          <w:p>
            <w:pPr>
              <w:ind w:left="120"/>
              <w:spacing w:after="0"/>
              <w:rPr>
                <w:sz w:val="20"/>
                <w:szCs w:val="20"/>
                <w:color w:val="auto"/>
              </w:rPr>
            </w:pPr>
            <w:r>
              <w:rPr>
                <w:rFonts w:ascii="Arial" w:cs="Arial" w:eastAsia="Arial" w:hAnsi="Arial"/>
                <w:sz w:val="14"/>
                <w:szCs w:val="14"/>
                <w:color w:val="auto"/>
              </w:rPr>
              <w:t>dispositions: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2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3"/>
        </w:trPr>
        <w:tc>
          <w:tcPr>
            <w:tcW w:w="5920" w:type="dxa"/>
            <w:vAlign w:val="bottom"/>
          </w:tcPr>
          <w:p>
            <w:pPr>
              <w:ind w:left="20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204"/>
        </w:trPr>
        <w:tc>
          <w:tcPr>
            <w:tcW w:w="5920" w:type="dxa"/>
            <w:vAlign w:val="bottom"/>
          </w:tcPr>
          <w:p>
            <w:pPr>
              <w:ind w:left="200"/>
              <w:spacing w:after="0"/>
              <w:rPr>
                <w:sz w:val="20"/>
                <w:szCs w:val="20"/>
                <w:color w:val="auto"/>
              </w:rPr>
            </w:pPr>
            <w:r>
              <w:rPr>
                <w:rFonts w:ascii="Arial" w:cs="Arial" w:eastAsia="Arial" w:hAnsi="Arial"/>
                <w:sz w:val="14"/>
                <w:szCs w:val="14"/>
                <w:color w:val="auto"/>
              </w:rPr>
              <w:t>Accounts payable, accrued liabilities and other</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6"/>
        </w:trPr>
        <w:tc>
          <w:tcPr>
            <w:tcW w:w="5920" w:type="dxa"/>
            <w:vAlign w:val="bottom"/>
          </w:tcPr>
          <w:p>
            <w:pPr>
              <w:ind w:left="320"/>
              <w:spacing w:after="0"/>
              <w:rPr>
                <w:sz w:val="20"/>
                <w:szCs w:val="20"/>
                <w:color w:val="auto"/>
              </w:rPr>
            </w:pPr>
            <w:r>
              <w:rPr>
                <w:rFonts w:ascii="Arial" w:cs="Arial" w:eastAsia="Arial" w:hAnsi="Arial"/>
                <w:sz w:val="14"/>
                <w:szCs w:val="14"/>
                <w:color w:val="auto"/>
              </w:rPr>
              <w:t>Net cash flows from operating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14,430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14,433</w:t>
            </w:r>
          </w:p>
        </w:tc>
        <w:tc>
          <w:tcPr>
            <w:tcW w:w="0" w:type="dxa"/>
            <w:vAlign w:val="bottom"/>
          </w:tcPr>
          <w:p>
            <w:pPr>
              <w:spacing w:after="0"/>
              <w:rPr>
                <w:sz w:val="1"/>
                <w:szCs w:val="1"/>
                <w:color w:val="auto"/>
              </w:rPr>
            </w:pPr>
          </w:p>
        </w:tc>
      </w:tr>
      <w:tr>
        <w:trPr>
          <w:trHeight w:val="397"/>
        </w:trPr>
        <w:tc>
          <w:tcPr>
            <w:tcW w:w="59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(3,062)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(11,115)</w:t>
            </w: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Change in accrued expenses related to capital expenditures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04"/>
        </w:trPr>
        <w:tc>
          <w:tcPr>
            <w:tcW w:w="59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96"/>
        </w:trPr>
        <w:tc>
          <w:tcPr>
            <w:tcW w:w="5920" w:type="dxa"/>
            <w:vAlign w:val="bottom"/>
          </w:tcPr>
          <w:p>
            <w:pPr>
              <w:ind w:left="320"/>
              <w:spacing w:after="0"/>
              <w:rPr>
                <w:sz w:val="20"/>
                <w:szCs w:val="20"/>
                <w:color w:val="auto"/>
              </w:rPr>
            </w:pPr>
            <w:r>
              <w:rPr>
                <w:rFonts w:ascii="Arial" w:cs="Arial" w:eastAsia="Arial" w:hAnsi="Arial"/>
                <w:sz w:val="14"/>
                <w:szCs w:val="14"/>
                <w:color w:val="auto"/>
              </w:rPr>
              <w:t>Net cash flows from investing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(11,127)</w:t>
            </w:r>
          </w:p>
        </w:tc>
        <w:tc>
          <w:tcPr>
            <w:tcW w:w="0" w:type="dxa"/>
            <w:vAlign w:val="bottom"/>
          </w:tcPr>
          <w:p>
            <w:pPr>
              <w:spacing w:after="0"/>
              <w:rPr>
                <w:sz w:val="1"/>
                <w:szCs w:val="1"/>
                <w:color w:val="auto"/>
              </w:rPr>
            </w:pPr>
          </w:p>
        </w:tc>
      </w:tr>
      <w:tr>
        <w:trPr>
          <w:trHeight w:val="397"/>
        </w:trPr>
        <w:tc>
          <w:tcPr>
            <w:tcW w:w="59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Borrowings of long-term debt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8,505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7,471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25,893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22,062</w:t>
            </w: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Borrowings of equipment installment plan financing facility</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Repayments of long-term debt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(9,761)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(7,553)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(29,660)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(21,938)</w:t>
            </w:r>
          </w:p>
        </w:tc>
        <w:tc>
          <w:tcPr>
            <w:tcW w:w="0" w:type="dxa"/>
            <w:vAlign w:val="bottom"/>
          </w:tcPr>
          <w:p>
            <w:pPr>
              <w:spacing w:after="0"/>
              <w:rPr>
                <w:sz w:val="1"/>
                <w:szCs w:val="1"/>
                <w:color w:val="auto"/>
              </w:rPr>
            </w:pPr>
          </w:p>
        </w:tc>
      </w:tr>
      <w:tr>
        <w:trPr>
          <w:trHeight w:val="202"/>
        </w:trPr>
        <w:tc>
          <w:tcPr>
            <w:tcW w:w="5920" w:type="dxa"/>
            <w:vAlign w:val="bottom"/>
          </w:tcPr>
          <w:p>
            <w:pPr>
              <w:ind w:left="120"/>
              <w:spacing w:after="0"/>
              <w:rPr>
                <w:sz w:val="20"/>
                <w:szCs w:val="20"/>
                <w:color w:val="auto"/>
              </w:rPr>
            </w:pPr>
            <w:r>
              <w:rPr>
                <w:rFonts w:ascii="Arial" w:cs="Arial" w:eastAsia="Arial" w:hAnsi="Arial"/>
                <w:sz w:val="14"/>
                <w:szCs w:val="14"/>
                <w:color w:val="auto"/>
              </w:rPr>
              <w:t>Payments for debt issuance costs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Purchase of treasury stock</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(3,215)</w:t>
            </w: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Purchase of noncontrolling interest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Distributions to noncontrolling interest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04"/>
        </w:trPr>
        <w:tc>
          <w:tcPr>
            <w:tcW w:w="59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99"/>
        </w:trPr>
        <w:tc>
          <w:tcPr>
            <w:tcW w:w="5920" w:type="dxa"/>
            <w:vAlign w:val="bottom"/>
          </w:tcPr>
          <w:p>
            <w:pPr>
              <w:ind w:left="320"/>
              <w:spacing w:after="0"/>
              <w:rPr>
                <w:sz w:val="20"/>
                <w:szCs w:val="20"/>
                <w:color w:val="auto"/>
              </w:rPr>
            </w:pPr>
            <w:r>
              <w:rPr>
                <w:rFonts w:ascii="Arial" w:cs="Arial" w:eastAsia="Arial" w:hAnsi="Arial"/>
                <w:sz w:val="14"/>
                <w:szCs w:val="14"/>
                <w:color w:val="auto"/>
              </w:rPr>
              <w:t>Net cash flows from financing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(3,242)</w:t>
            </w:r>
          </w:p>
        </w:tc>
        <w:tc>
          <w:tcPr>
            <w:tcW w:w="0" w:type="dxa"/>
            <w:vAlign w:val="bottom"/>
          </w:tcPr>
          <w:p>
            <w:pPr>
              <w:spacing w:after="0"/>
              <w:rPr>
                <w:sz w:val="1"/>
                <w:szCs w:val="1"/>
                <w:color w:val="auto"/>
              </w:rPr>
            </w:pPr>
          </w:p>
        </w:tc>
      </w:tr>
      <w:tr>
        <w:trPr>
          <w:trHeight w:val="394"/>
        </w:trPr>
        <w:tc>
          <w:tcPr>
            <w:tcW w:w="5920" w:type="dxa"/>
            <w:vAlign w:val="bottom"/>
          </w:tcPr>
          <w:p>
            <w:pPr>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4"/>
        </w:trPr>
        <w:tc>
          <w:tcPr>
            <w:tcW w:w="5920" w:type="dxa"/>
            <w:vAlign w:val="bottom"/>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98"/>
        </w:trPr>
        <w:tc>
          <w:tcPr>
            <w:tcW w:w="5920" w:type="dxa"/>
            <w:vAlign w:val="bottom"/>
          </w:tcPr>
          <w:p>
            <w:pPr>
              <w:spacing w:after="0"/>
              <w:rPr>
                <w:sz w:val="20"/>
                <w:szCs w:val="20"/>
                <w:color w:val="auto"/>
              </w:rPr>
            </w:pPr>
            <w:r>
              <w:rPr>
                <w:rFonts w:ascii="Arial" w:cs="Arial" w:eastAsia="Arial" w:hAnsi="Arial"/>
                <w:sz w:val="14"/>
                <w:szCs w:val="14"/>
                <w:color w:val="auto"/>
              </w:rPr>
              <w:t>CASH, CASH EQUIVALENTS AND RESTRICTED CASH,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8"/>
        </w:trPr>
        <w:tc>
          <w:tcPr>
            <w:tcW w:w="5920" w:type="dxa"/>
            <w:vAlign w:val="bottom"/>
          </w:tcPr>
          <w:p>
            <w:pPr>
              <w:spacing w:after="0"/>
              <w:rPr>
                <w:sz w:val="20"/>
                <w:szCs w:val="20"/>
                <w:color w:val="auto"/>
              </w:rPr>
            </w:pPr>
            <w:r>
              <w:rPr>
                <w:rFonts w:ascii="Arial" w:cs="Arial" w:eastAsia="Arial" w:hAnsi="Arial"/>
                <w:sz w:val="14"/>
                <w:szCs w:val="14"/>
                <w:color w:val="auto"/>
              </w:rPr>
              <w:t>CASH PAID FOR INTEREST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5,334</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5,020</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Arial" w:cs="Arial" w:eastAsia="Arial" w:hAnsi="Arial"/>
                <w:sz w:val="14"/>
                <w:szCs w:val="14"/>
                <w:color w:val="auto"/>
              </w:rPr>
              <w:t>CASH PAID FOR TAXES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92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As of December 31, 2024, cash, cash equivalents and restricted cash includes $47 million of restricted cash included in prepaid expenses and other current assets in the consolidated balance sheets.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Addendum to Charter Communications, Inc. Fourth Quarter 2024 Earnings Release</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 of 7</w:t>
      </w:r>
    </w:p>
    <w:p>
      <w:pPr>
        <w:sectPr>
          <w:pgSz w:w="11900" w:h="16838" w:orient="portrait"/>
          <w:cols w:equalWidth="0" w:num="1">
            <w:col w:w="11240"/>
          </w:cols>
          <w:pgMar w:left="320" w:top="530"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SUMMARY OF OPERATING STATISTICS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customer and penetration data)</w:t>
      </w:r>
    </w:p>
    <w:p>
      <w:pPr>
        <w:spacing w:after="0" w:line="277" w:lineRule="exact"/>
        <w:rPr>
          <w:sz w:val="20"/>
          <w:szCs w:val="20"/>
          <w:color w:val="auto"/>
        </w:rPr>
      </w:pPr>
    </w:p>
    <w:p>
      <w:pPr>
        <w:jc w:val="right"/>
        <w:ind w:right="1540"/>
        <w:spacing w:after="0"/>
        <w:rPr>
          <w:sz w:val="20"/>
          <w:szCs w:val="20"/>
          <w:color w:val="auto"/>
        </w:rPr>
      </w:pPr>
      <w:r>
        <w:rPr>
          <w:rFonts w:ascii="Arial" w:cs="Arial" w:eastAsia="Arial" w:hAnsi="Arial"/>
          <w:sz w:val="14"/>
          <w:szCs w:val="14"/>
          <w:b w:val="1"/>
          <w:bCs w:val="1"/>
          <w:color w:val="auto"/>
        </w:rPr>
        <w:t>Approximate as of</w:t>
      </w:r>
    </w:p>
    <w:p>
      <w:pPr>
        <w:spacing w:after="0" w:line="35" w:lineRule="exact"/>
        <w:rPr>
          <w:sz w:val="20"/>
          <w:szCs w:val="20"/>
          <w:color w:val="auto"/>
        </w:rPr>
      </w:pPr>
    </w:p>
    <w:tbl>
      <w:tblPr>
        <w:tblLayout w:type="fixed"/>
        <w:tblInd w:w="6860" w:type="dxa"/>
        <w:tblCellMar>
          <w:top w:w="0" w:type="dxa"/>
          <w:left w:w="0" w:type="dxa"/>
          <w:bottom w:w="0" w:type="dxa"/>
          <w:right w:w="0" w:type="dxa"/>
        </w:tblCellMar>
      </w:tblPr>
      <w:tr>
        <w:trPr>
          <w:trHeight w:val="198"/>
        </w:trPr>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top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tcBorders>
              <w:top w:val="single" w:sz="8" w:color="auto"/>
            </w:tcBorders>
          </w:tcPr>
          <w:p>
            <w:pPr>
              <w:jc w:val="center"/>
              <w:ind w:left="81"/>
              <w:spacing w:after="0"/>
              <w:rPr>
                <w:sz w:val="20"/>
                <w:szCs w:val="20"/>
                <w:color w:val="auto"/>
              </w:rPr>
            </w:pPr>
            <w:r>
              <w:rPr>
                <w:rFonts w:ascii="Arial" w:cs="Arial" w:eastAsia="Arial" w:hAnsi="Arial"/>
                <w:sz w:val="14"/>
                <w:szCs w:val="14"/>
                <w:b w:val="1"/>
                <w:bCs w:val="1"/>
                <w:color w:val="auto"/>
              </w:rPr>
              <w:t>December 31, 2023</w:t>
            </w:r>
          </w:p>
        </w:tc>
      </w:tr>
      <w:tr>
        <w:trPr>
          <w:trHeight w:val="167"/>
        </w:trPr>
        <w:tc>
          <w:tcPr>
            <w:tcW w:w="1420" w:type="dxa"/>
            <w:vAlign w:val="bottom"/>
          </w:tcPr>
          <w:p>
            <w:pPr>
              <w:jc w:val="center"/>
              <w:spacing w:after="0" w:line="167" w:lineRule="exact"/>
              <w:rPr>
                <w:sz w:val="20"/>
                <w:szCs w:val="20"/>
                <w:color w:val="auto"/>
              </w:rPr>
            </w:pPr>
            <w:r>
              <w:rPr>
                <w:rFonts w:ascii="Arial" w:cs="Arial" w:eastAsia="Arial" w:hAnsi="Arial"/>
                <w:sz w:val="14"/>
                <w:szCs w:val="14"/>
                <w:b w:val="1"/>
                <w:bCs w:val="1"/>
                <w:color w:val="auto"/>
                <w:w w:val="95"/>
              </w:rPr>
              <w:t>2024</w:t>
            </w:r>
            <w:r>
              <w:rPr>
                <w:rFonts w:ascii="Arial" w:cs="Arial" w:eastAsia="Arial" w:hAnsi="Arial"/>
                <w:sz w:val="18"/>
                <w:szCs w:val="18"/>
                <w:b w:val="1"/>
                <w:bCs w:val="1"/>
                <w:color w:val="auto"/>
                <w:w w:val="95"/>
                <w:vertAlign w:val="superscript"/>
              </w:rPr>
              <w:t>(c)</w:t>
            </w:r>
          </w:p>
        </w:tc>
        <w:tc>
          <w:tcPr>
            <w:tcW w:w="1440" w:type="dxa"/>
            <w:vAlign w:val="bottom"/>
          </w:tcPr>
          <w:p>
            <w:pPr>
              <w:jc w:val="center"/>
              <w:ind w:left="8"/>
              <w:spacing w:after="0" w:line="167" w:lineRule="exact"/>
              <w:rPr>
                <w:sz w:val="20"/>
                <w:szCs w:val="20"/>
                <w:color w:val="auto"/>
              </w:rPr>
            </w:pPr>
            <w:r>
              <w:rPr>
                <w:rFonts w:ascii="Arial" w:cs="Arial" w:eastAsia="Arial" w:hAnsi="Arial"/>
                <w:sz w:val="14"/>
                <w:szCs w:val="14"/>
                <w:b w:val="1"/>
                <w:bCs w:val="1"/>
                <w:color w:val="auto"/>
                <w:w w:val="95"/>
              </w:rPr>
              <w:t>2024</w:t>
            </w:r>
            <w:r>
              <w:rPr>
                <w:rFonts w:ascii="Arial" w:cs="Arial" w:eastAsia="Arial" w:hAnsi="Arial"/>
                <w:sz w:val="18"/>
                <w:szCs w:val="18"/>
                <w:b w:val="1"/>
                <w:bCs w:val="1"/>
                <w:color w:val="auto"/>
                <w:w w:val="95"/>
                <w:vertAlign w:val="superscript"/>
              </w:rPr>
              <w:t>(c)</w:t>
            </w:r>
          </w:p>
        </w:tc>
        <w:tc>
          <w:tcPr>
            <w:tcW w:w="1500" w:type="dxa"/>
            <w:vAlign w:val="bottom"/>
          </w:tcPr>
          <w:p>
            <w:pPr>
              <w:jc w:val="center"/>
              <w:ind w:left="81"/>
              <w:spacing w:after="0"/>
              <w:rPr>
                <w:sz w:val="20"/>
                <w:szCs w:val="20"/>
                <w:color w:val="auto"/>
              </w:rPr>
            </w:pPr>
            <w:r>
              <w:rPr>
                <w:rFonts w:ascii="Arial" w:cs="Arial" w:eastAsia="Arial" w:hAnsi="Arial"/>
                <w:sz w:val="9"/>
                <w:szCs w:val="9"/>
                <w:b w:val="1"/>
                <w:bCs w:val="1"/>
                <w:color w:val="auto"/>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-10795</wp:posOffset>
            </wp:positionV>
            <wp:extent cx="2768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auto"/>
        </w:rPr>
        <w:t>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797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Estimated Passings </w:t>
      </w:r>
      <w:r>
        <w:rPr>
          <w:rFonts w:ascii="Arial" w:cs="Arial" w:eastAsia="Arial" w:hAnsi="Arial"/>
          <w:sz w:val="18"/>
          <w:szCs w:val="18"/>
          <w:color w:val="auto"/>
          <w:vertAlign w:val="superscript"/>
        </w:rPr>
        <w:t>(d)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Customer Relationships </w:t>
      </w:r>
      <w:r>
        <w:rPr>
          <w:rFonts w:ascii="Arial" w:cs="Arial" w:eastAsia="Arial" w:hAnsi="Arial"/>
          <w:sz w:val="18"/>
          <w:szCs w:val="18"/>
          <w:b w:val="1"/>
          <w:bCs w:val="1"/>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wp:posOffset>
            </wp:positionV>
            <wp:extent cx="3797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Residential</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SMB</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 Customer Relationships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Residential</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SMB</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 Customer Relationships Quarterly Net Additions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Total Customer Relationship Penetration of Estimated Passings </w:t>
      </w:r>
      <w:r>
        <w:rPr>
          <w:rFonts w:ascii="Arial" w:cs="Arial" w:eastAsia="Arial" w:hAnsi="Arial"/>
          <w:sz w:val="18"/>
          <w:szCs w:val="18"/>
          <w:color w:val="auto"/>
          <w:vertAlign w:val="superscript"/>
        </w:rPr>
        <w:t>(f)</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Monthly Residential Revenue per Residential Customer </w:t>
      </w:r>
      <w:r>
        <w:rPr>
          <w:rFonts w:ascii="Arial" w:cs="Arial" w:eastAsia="Arial" w:hAnsi="Arial"/>
          <w:sz w:val="18"/>
          <w:szCs w:val="18"/>
          <w:color w:val="auto"/>
          <w:vertAlign w:val="superscript"/>
        </w:rPr>
        <w:t>(g)</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Monthly SMB Revenue per SMB Customer </w:t>
      </w:r>
      <w:r>
        <w:rPr>
          <w:rFonts w:ascii="Arial" w:cs="Arial" w:eastAsia="Arial" w:hAnsi="Arial"/>
          <w:sz w:val="18"/>
          <w:szCs w:val="18"/>
          <w:color w:val="auto"/>
          <w:vertAlign w:val="superscript"/>
        </w:rPr>
        <w:t>(h)</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Residential Customer Relationships Penetration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37973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One Product Penetration </w:t>
      </w:r>
      <w:r>
        <w:rPr>
          <w:rFonts w:ascii="Arial" w:cs="Arial" w:eastAsia="Arial" w:hAnsi="Arial"/>
          <w:sz w:val="18"/>
          <w:szCs w:val="18"/>
          <w:color w:val="auto"/>
          <w:vertAlign w:val="superscript"/>
        </w:rPr>
        <w:t>(i)</w:t>
      </w:r>
    </w:p>
    <w:p>
      <w:pPr>
        <w:ind w:left="200"/>
        <w:spacing w:after="0"/>
        <w:rPr>
          <w:sz w:val="20"/>
          <w:szCs w:val="20"/>
          <w:color w:val="auto"/>
        </w:rPr>
      </w:pPr>
      <w:r>
        <w:rPr>
          <w:rFonts w:ascii="Arial" w:cs="Arial" w:eastAsia="Arial" w:hAnsi="Arial"/>
          <w:sz w:val="14"/>
          <w:szCs w:val="14"/>
          <w:color w:val="auto"/>
        </w:rPr>
        <w:t xml:space="preserve">Two Product Penetration </w:t>
      </w:r>
      <w:r>
        <w:rPr>
          <w:rFonts w:ascii="Arial" w:cs="Arial" w:eastAsia="Arial" w:hAnsi="Arial"/>
          <w:sz w:val="18"/>
          <w:szCs w:val="18"/>
          <w:color w:val="auto"/>
          <w:vertAlign w:val="superscript"/>
        </w:rPr>
        <w:t>(i)</w:t>
      </w:r>
    </w:p>
    <w:p>
      <w:pPr>
        <w:ind w:left="200"/>
        <w:spacing w:after="0"/>
        <w:rPr>
          <w:sz w:val="20"/>
          <w:szCs w:val="20"/>
          <w:color w:val="auto"/>
        </w:rPr>
      </w:pPr>
      <w:r>
        <w:rPr>
          <w:rFonts w:ascii="Arial" w:cs="Arial" w:eastAsia="Arial" w:hAnsi="Arial"/>
          <w:sz w:val="14"/>
          <w:szCs w:val="14"/>
          <w:color w:val="auto"/>
        </w:rPr>
        <w:t xml:space="preserve">Three or More Product Penetration </w:t>
      </w:r>
      <w:r>
        <w:rPr>
          <w:rFonts w:ascii="Arial" w:cs="Arial" w:eastAsia="Arial" w:hAnsi="Arial"/>
          <w:sz w:val="18"/>
          <w:szCs w:val="18"/>
          <w:color w:val="auto"/>
          <w:vertAlign w:val="superscript"/>
        </w:rPr>
        <w:t>(i)</w:t>
      </w:r>
    </w:p>
    <w:p>
      <w:pPr>
        <w:spacing w:after="0" w:line="44" w:lineRule="exact"/>
        <w:rPr>
          <w:sz w:val="20"/>
          <w:szCs w:val="20"/>
          <w:color w:val="auto"/>
        </w:rPr>
      </w:pPr>
    </w:p>
    <w:p>
      <w:pPr>
        <w:ind w:left="360" w:hanging="159"/>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Residential Non-Video Customer Relationships</w:t>
      </w:r>
    </w:p>
    <w:p>
      <w:pPr>
        <w:spacing w:after="0" w:line="95"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4"/>
          <w:szCs w:val="14"/>
          <w:b w:val="1"/>
          <w:bCs w:val="1"/>
          <w:color w:val="auto"/>
        </w:rPr>
        <w:t>Internet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56,861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56,542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55,322</w:t>
            </w:r>
          </w:p>
        </w:tc>
      </w:tr>
      <w:tr>
        <w:trPr>
          <w:trHeight w:val="473"/>
        </w:trPr>
        <w:tc>
          <w:tcPr>
            <w:tcW w:w="4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29,258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29,465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29,904</w:t>
            </w:r>
          </w:p>
        </w:tc>
      </w:tr>
      <w:tr>
        <w:trPr>
          <w:trHeight w:val="207"/>
        </w:trPr>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2,215</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2,223</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2,222</w:t>
            </w:r>
          </w:p>
        </w:tc>
      </w:tr>
      <w:tr>
        <w:trPr>
          <w:trHeight w:val="196"/>
        </w:trPr>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31,473</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31,688</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32,126</w:t>
            </w:r>
          </w:p>
        </w:tc>
      </w:tr>
      <w:tr>
        <w:trPr>
          <w:trHeight w:val="233"/>
        </w:trPr>
        <w:tc>
          <w:tcPr>
            <w:tcW w:w="420" w:type="dxa"/>
            <w:vAlign w:val="bottom"/>
          </w:tcPr>
          <w:p>
            <w:pPr>
              <w:spacing w:after="0"/>
              <w:rPr>
                <w:sz w:val="20"/>
                <w:szCs w:val="20"/>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(108)</w:t>
            </w:r>
          </w:p>
        </w:tc>
      </w:tr>
      <w:tr>
        <w:trPr>
          <w:trHeight w:val="206"/>
        </w:trPr>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r>
      <w:tr>
        <w:trPr>
          <w:trHeight w:val="196"/>
        </w:trPr>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w:t>
            </w:r>
          </w:p>
        </w:tc>
      </w:tr>
      <w:tr>
        <w:trPr>
          <w:trHeight w:val="233"/>
        </w:trPr>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55.4 %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56.0 %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58.1 %</w:t>
            </w:r>
          </w:p>
        </w:tc>
      </w:tr>
      <w:tr>
        <w:trPr>
          <w:trHeight w:val="256"/>
        </w:trPr>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121.40</w:t>
            </w:r>
          </w:p>
        </w:tc>
        <w:tc>
          <w:tcPr>
            <w:tcW w:w="120" w:type="dxa"/>
            <w:vAlign w:val="bottom"/>
          </w:tcPr>
          <w:p>
            <w:pPr>
              <w:spacing w:after="0"/>
              <w:rPr>
                <w:sz w:val="22"/>
                <w:szCs w:val="22"/>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121.47</w:t>
            </w:r>
          </w:p>
        </w:tc>
        <w:tc>
          <w:tcPr>
            <w:tcW w:w="10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119.41</w:t>
            </w:r>
          </w:p>
        </w:tc>
      </w:tr>
      <w:tr>
        <w:trPr>
          <w:trHeight w:val="203"/>
        </w:trPr>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163.14</w:t>
            </w:r>
          </w:p>
        </w:tc>
        <w:tc>
          <w:tcPr>
            <w:tcW w:w="12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164.38</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162.38</w:t>
            </w:r>
          </w:p>
        </w:tc>
      </w:tr>
      <w:tr>
        <w:trPr>
          <w:trHeight w:val="473"/>
        </w:trPr>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47.6 %</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47.9 %</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46.7 %</w:t>
            </w:r>
          </w:p>
        </w:tc>
      </w:tr>
      <w:tr>
        <w:trPr>
          <w:trHeight w:val="203"/>
        </w:trPr>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33.9 %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33.4 %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33.1 %</w:t>
            </w:r>
          </w:p>
        </w:tc>
      </w:tr>
      <w:tr>
        <w:trPr>
          <w:trHeight w:val="203"/>
        </w:trPr>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18.5 %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18.7 %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20.2 %</w:t>
            </w:r>
          </w:p>
        </w:tc>
      </w:tr>
      <w:tr>
        <w:trPr>
          <w:trHeight w:val="257"/>
        </w:trPr>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57.9 %</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57.8 %</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54.8 %</w:t>
            </w:r>
          </w:p>
        </w:tc>
      </w:tr>
    </w:tbl>
    <w:p>
      <w:pPr>
        <w:spacing w:after="0" w:line="262" w:lineRule="exact"/>
        <w:rPr>
          <w:sz w:val="20"/>
          <w:szCs w:val="20"/>
          <w:color w:val="auto"/>
        </w:rPr>
      </w:pPr>
    </w:p>
    <w:p>
      <w:pPr>
        <w:sectPr>
          <w:pgSz w:w="11900" w:h="16838" w:orient="portrait"/>
          <w:cols w:equalWidth="0" w:num="2">
            <w:col w:w="6140" w:space="720"/>
            <w:col w:w="4360"/>
          </w:cols>
          <w:pgMar w:left="320" w:top="530" w:right="359" w:bottom="1440" w:gutter="0" w:footer="0" w:header="0"/>
          <w:type w:val="continuous"/>
        </w:sectPr>
      </w:pPr>
    </w:p>
    <w:tbl>
      <w:tblPr>
        <w:tblLayout w:type="fixed"/>
        <w:tblInd w:w="20" w:type="dxa"/>
        <w:tblCellMar>
          <w:top w:w="0" w:type="dxa"/>
          <w:left w:w="0" w:type="dxa"/>
          <w:bottom w:w="0" w:type="dxa"/>
          <w:right w:w="0" w:type="dxa"/>
        </w:tblCellMar>
      </w:tblPr>
      <w:tr>
        <w:trPr>
          <w:trHeight w:val="190"/>
        </w:trPr>
        <w:tc>
          <w:tcPr>
            <w:tcW w:w="598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Residential</w:t>
            </w:r>
          </w:p>
        </w:tc>
        <w:tc>
          <w:tcPr>
            <w:tcW w:w="2240" w:type="dxa"/>
            <w:vAlign w:val="bottom"/>
            <w:gridSpan w:val="2"/>
          </w:tcPr>
          <w:p>
            <w:pPr>
              <w:jc w:val="right"/>
              <w:ind w:right="108"/>
              <w:spacing w:after="0"/>
              <w:rPr>
                <w:sz w:val="20"/>
                <w:szCs w:val="20"/>
                <w:color w:val="auto"/>
              </w:rPr>
            </w:pPr>
            <w:r>
              <w:rPr>
                <w:rFonts w:ascii="Arial" w:cs="Arial" w:eastAsia="Arial" w:hAnsi="Arial"/>
                <w:sz w:val="14"/>
                <w:szCs w:val="14"/>
                <w:color w:val="auto"/>
              </w:rPr>
              <w:t>28,034</w:t>
            </w:r>
          </w:p>
        </w:tc>
        <w:tc>
          <w:tcPr>
            <w:tcW w:w="1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28,205</w:t>
            </w:r>
          </w:p>
        </w:tc>
        <w:tc>
          <w:tcPr>
            <w:tcW w:w="1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28,544</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SMB</w:t>
            </w:r>
          </w:p>
        </w:tc>
        <w:tc>
          <w:tcPr>
            <w:tcW w:w="86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2,046</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2,052</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2,044</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Total Internet Customers</w:t>
            </w:r>
          </w:p>
        </w:tc>
        <w:tc>
          <w:tcPr>
            <w:tcW w:w="86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30,080</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30,257</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30,588</w:t>
            </w:r>
          </w:p>
        </w:tc>
      </w:tr>
      <w:tr>
        <w:trPr>
          <w:trHeight w:val="233"/>
        </w:trPr>
        <w:tc>
          <w:tcPr>
            <w:tcW w:w="598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2240" w:type="dxa"/>
            <w:vAlign w:val="bottom"/>
            <w:gridSpan w:val="2"/>
          </w:tcPr>
          <w:p>
            <w:pPr>
              <w:jc w:val="right"/>
              <w:ind w:right="6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0"/>
                <w:szCs w:val="20"/>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0"/>
                <w:szCs w:val="20"/>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(62)</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SMB</w:t>
            </w:r>
          </w:p>
        </w:tc>
        <w:tc>
          <w:tcPr>
            <w:tcW w:w="860" w:type="dxa"/>
            <w:vAlign w:val="bottom"/>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r>
      <w:tr>
        <w:trPr>
          <w:trHeight w:val="196"/>
        </w:trPr>
        <w:tc>
          <w:tcPr>
            <w:tcW w:w="5980" w:type="dxa"/>
            <w:vAlign w:val="bottom"/>
          </w:tcPr>
          <w:p>
            <w:pPr>
              <w:ind w:left="220"/>
              <w:spacing w:after="0"/>
              <w:rPr>
                <w:sz w:val="20"/>
                <w:szCs w:val="20"/>
                <w:color w:val="auto"/>
              </w:rPr>
            </w:pPr>
            <w:r>
              <w:rPr>
                <w:rFonts w:ascii="Arial" w:cs="Arial" w:eastAsia="Arial" w:hAnsi="Arial"/>
                <w:sz w:val="14"/>
                <w:szCs w:val="14"/>
                <w:color w:val="auto"/>
              </w:rPr>
              <w:t>Total Internet Quarterly Net Additions</w:t>
            </w:r>
          </w:p>
        </w:tc>
        <w:tc>
          <w:tcPr>
            <w:tcW w:w="2240" w:type="dxa"/>
            <w:vAlign w:val="bottom"/>
            <w:gridSpan w:val="2"/>
          </w:tcPr>
          <w:p>
            <w:pPr>
              <w:jc w:val="right"/>
              <w:ind w:right="6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(61)</w:t>
            </w:r>
          </w:p>
        </w:tc>
      </w:tr>
      <w:tr>
        <w:trPr>
          <w:trHeight w:val="241"/>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Video</w:t>
            </w:r>
          </w:p>
        </w:tc>
        <w:tc>
          <w:tcPr>
            <w:tcW w:w="86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190"/>
        </w:trPr>
        <w:tc>
          <w:tcPr>
            <w:tcW w:w="598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2240" w:type="dxa"/>
            <w:vAlign w:val="bottom"/>
            <w:gridSpan w:val="2"/>
          </w:tcPr>
          <w:p>
            <w:pPr>
              <w:jc w:val="right"/>
              <w:ind w:right="108"/>
              <w:spacing w:after="0"/>
              <w:rPr>
                <w:sz w:val="20"/>
                <w:szCs w:val="20"/>
                <w:color w:val="auto"/>
              </w:rPr>
            </w:pPr>
            <w:r>
              <w:rPr>
                <w:rFonts w:ascii="Arial" w:cs="Arial" w:eastAsia="Arial" w:hAnsi="Arial"/>
                <w:sz w:val="14"/>
                <w:szCs w:val="14"/>
                <w:color w:val="auto"/>
              </w:rPr>
              <w:t>12,327</w:t>
            </w:r>
          </w:p>
        </w:tc>
        <w:tc>
          <w:tcPr>
            <w:tcW w:w="1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12,437</w:t>
            </w:r>
          </w:p>
        </w:tc>
        <w:tc>
          <w:tcPr>
            <w:tcW w:w="1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13,503</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SMB</w:t>
            </w:r>
          </w:p>
        </w:tc>
        <w:tc>
          <w:tcPr>
            <w:tcW w:w="86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619</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Total Video Customers</w:t>
            </w:r>
          </w:p>
        </w:tc>
        <w:tc>
          <w:tcPr>
            <w:tcW w:w="86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12,892</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13,015</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14,122</w:t>
            </w:r>
          </w:p>
        </w:tc>
      </w:tr>
      <w:tr>
        <w:trPr>
          <w:trHeight w:val="233"/>
        </w:trPr>
        <w:tc>
          <w:tcPr>
            <w:tcW w:w="598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2240" w:type="dxa"/>
            <w:vAlign w:val="bottom"/>
            <w:gridSpan w:val="2"/>
          </w:tcPr>
          <w:p>
            <w:pPr>
              <w:jc w:val="right"/>
              <w:ind w:right="6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0"/>
                <w:szCs w:val="20"/>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0"/>
                <w:szCs w:val="20"/>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(248)</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SMB</w:t>
            </w:r>
          </w:p>
        </w:tc>
        <w:tc>
          <w:tcPr>
            <w:tcW w:w="860" w:type="dxa"/>
            <w:vAlign w:val="bottom"/>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r>
      <w:tr>
        <w:trPr>
          <w:trHeight w:val="196"/>
        </w:trPr>
        <w:tc>
          <w:tcPr>
            <w:tcW w:w="5980" w:type="dxa"/>
            <w:vAlign w:val="bottom"/>
          </w:tcPr>
          <w:p>
            <w:pPr>
              <w:ind w:left="220"/>
              <w:spacing w:after="0"/>
              <w:rPr>
                <w:sz w:val="20"/>
                <w:szCs w:val="20"/>
                <w:color w:val="auto"/>
              </w:rPr>
            </w:pPr>
            <w:r>
              <w:rPr>
                <w:rFonts w:ascii="Arial" w:cs="Arial" w:eastAsia="Arial" w:hAnsi="Arial"/>
                <w:sz w:val="14"/>
                <w:szCs w:val="14"/>
                <w:color w:val="auto"/>
              </w:rPr>
              <w:t>Total Video Quarterly Net Additions</w:t>
            </w:r>
          </w:p>
        </w:tc>
        <w:tc>
          <w:tcPr>
            <w:tcW w:w="2240" w:type="dxa"/>
            <w:vAlign w:val="bottom"/>
            <w:gridSpan w:val="2"/>
          </w:tcPr>
          <w:p>
            <w:pPr>
              <w:jc w:val="right"/>
              <w:ind w:right="6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(257)</w:t>
            </w:r>
          </w:p>
        </w:tc>
      </w:tr>
      <w:tr>
        <w:trPr>
          <w:trHeight w:val="24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Mobile Lines </w:t>
            </w:r>
            <w:r>
              <w:rPr>
                <w:rFonts w:ascii="Arial" w:cs="Arial" w:eastAsia="Arial" w:hAnsi="Arial"/>
                <w:sz w:val="18"/>
                <w:szCs w:val="18"/>
                <w:b w:val="1"/>
                <w:bCs w:val="1"/>
                <w:color w:val="auto"/>
                <w:vertAlign w:val="superscript"/>
              </w:rPr>
              <w:t>(j)</w:t>
            </w:r>
          </w:p>
        </w:tc>
        <w:tc>
          <w:tcPr>
            <w:tcW w:w="86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188"/>
        </w:trPr>
        <w:tc>
          <w:tcPr>
            <w:tcW w:w="598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2240" w:type="dxa"/>
            <w:vAlign w:val="bottom"/>
            <w:gridSpan w:val="2"/>
          </w:tcPr>
          <w:p>
            <w:pPr>
              <w:jc w:val="right"/>
              <w:ind w:right="108"/>
              <w:spacing w:after="0"/>
              <w:rPr>
                <w:sz w:val="20"/>
                <w:szCs w:val="20"/>
                <w:color w:val="auto"/>
              </w:rPr>
            </w:pPr>
            <w:r>
              <w:rPr>
                <w:rFonts w:ascii="Arial" w:cs="Arial" w:eastAsia="Arial" w:hAnsi="Arial"/>
                <w:sz w:val="14"/>
                <w:szCs w:val="14"/>
                <w:color w:val="auto"/>
              </w:rPr>
              <w:t>9,568</w:t>
            </w:r>
          </w:p>
        </w:tc>
        <w:tc>
          <w:tcPr>
            <w:tcW w:w="1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9,057</w:t>
            </w:r>
          </w:p>
        </w:tc>
        <w:tc>
          <w:tcPr>
            <w:tcW w:w="1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7,519</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SMB</w:t>
            </w:r>
          </w:p>
        </w:tc>
        <w:tc>
          <w:tcPr>
            <w:tcW w:w="86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247</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Total Mobile Lines</w:t>
            </w:r>
          </w:p>
        </w:tc>
        <w:tc>
          <w:tcPr>
            <w:tcW w:w="86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9,883</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9,354</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7,766</w:t>
            </w:r>
          </w:p>
        </w:tc>
      </w:tr>
      <w:tr>
        <w:trPr>
          <w:trHeight w:val="233"/>
        </w:trPr>
        <w:tc>
          <w:tcPr>
            <w:tcW w:w="598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2240" w:type="dxa"/>
            <w:vAlign w:val="bottom"/>
            <w:gridSpan w:val="2"/>
          </w:tcPr>
          <w:p>
            <w:pPr>
              <w:jc w:val="right"/>
              <w:ind w:right="10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0"/>
                <w:szCs w:val="20"/>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20"/>
                <w:szCs w:val="20"/>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532</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SMB</w:t>
            </w:r>
          </w:p>
        </w:tc>
        <w:tc>
          <w:tcPr>
            <w:tcW w:w="86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w:t>
            </w:r>
          </w:p>
        </w:tc>
      </w:tr>
      <w:tr>
        <w:trPr>
          <w:trHeight w:val="196"/>
        </w:trPr>
        <w:tc>
          <w:tcPr>
            <w:tcW w:w="5980" w:type="dxa"/>
            <w:vAlign w:val="bottom"/>
          </w:tcPr>
          <w:p>
            <w:pPr>
              <w:ind w:left="220"/>
              <w:spacing w:after="0"/>
              <w:rPr>
                <w:sz w:val="20"/>
                <w:szCs w:val="20"/>
                <w:color w:val="auto"/>
              </w:rPr>
            </w:pPr>
            <w:r>
              <w:rPr>
                <w:rFonts w:ascii="Arial" w:cs="Arial" w:eastAsia="Arial" w:hAnsi="Arial"/>
                <w:sz w:val="14"/>
                <w:szCs w:val="14"/>
                <w:color w:val="auto"/>
              </w:rPr>
              <w:t>Total Mobile Lines Quarterly Net Additions</w:t>
            </w:r>
          </w:p>
        </w:tc>
        <w:tc>
          <w:tcPr>
            <w:tcW w:w="2240" w:type="dxa"/>
            <w:vAlign w:val="bottom"/>
            <w:gridSpan w:val="2"/>
          </w:tcPr>
          <w:p>
            <w:pPr>
              <w:jc w:val="right"/>
              <w:ind w:right="108"/>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546</w:t>
            </w:r>
          </w:p>
        </w:tc>
      </w:tr>
      <w:tr>
        <w:trPr>
          <w:trHeight w:val="241"/>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Voice</w:t>
            </w:r>
          </w:p>
        </w:tc>
        <w:tc>
          <w:tcPr>
            <w:tcW w:w="86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190"/>
        </w:trPr>
        <w:tc>
          <w:tcPr>
            <w:tcW w:w="598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2240" w:type="dxa"/>
            <w:vAlign w:val="bottom"/>
            <w:gridSpan w:val="2"/>
          </w:tcPr>
          <w:p>
            <w:pPr>
              <w:jc w:val="right"/>
              <w:ind w:right="108"/>
              <w:spacing w:after="0"/>
              <w:rPr>
                <w:sz w:val="20"/>
                <w:szCs w:val="20"/>
                <w:color w:val="auto"/>
              </w:rPr>
            </w:pPr>
            <w:r>
              <w:rPr>
                <w:rFonts w:ascii="Arial" w:cs="Arial" w:eastAsia="Arial" w:hAnsi="Arial"/>
                <w:sz w:val="14"/>
                <w:szCs w:val="14"/>
                <w:color w:val="auto"/>
              </w:rPr>
              <w:t>5,636</w:t>
            </w:r>
          </w:p>
        </w:tc>
        <w:tc>
          <w:tcPr>
            <w:tcW w:w="1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5,895</w:t>
            </w:r>
          </w:p>
        </w:tc>
        <w:tc>
          <w:tcPr>
            <w:tcW w:w="1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6,712</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SMB</w:t>
            </w:r>
          </w:p>
        </w:tc>
        <w:tc>
          <w:tcPr>
            <w:tcW w:w="86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1,293</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Total Voice Customers</w:t>
            </w:r>
          </w:p>
        </w:tc>
        <w:tc>
          <w:tcPr>
            <w:tcW w:w="86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6,884</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7,158</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8,005</w:t>
            </w:r>
          </w:p>
        </w:tc>
      </w:tr>
      <w:tr>
        <w:trPr>
          <w:trHeight w:val="233"/>
        </w:trPr>
        <w:tc>
          <w:tcPr>
            <w:tcW w:w="598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2240" w:type="dxa"/>
            <w:vAlign w:val="bottom"/>
            <w:gridSpan w:val="2"/>
          </w:tcPr>
          <w:p>
            <w:pPr>
              <w:jc w:val="right"/>
              <w:ind w:right="6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0"/>
                <w:szCs w:val="20"/>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0"/>
                <w:szCs w:val="20"/>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(248)</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SMB</w:t>
            </w:r>
          </w:p>
        </w:tc>
        <w:tc>
          <w:tcPr>
            <w:tcW w:w="860" w:type="dxa"/>
            <w:vAlign w:val="bottom"/>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r>
      <w:tr>
        <w:trPr>
          <w:trHeight w:val="196"/>
        </w:trPr>
        <w:tc>
          <w:tcPr>
            <w:tcW w:w="5980" w:type="dxa"/>
            <w:vAlign w:val="bottom"/>
          </w:tcPr>
          <w:p>
            <w:pPr>
              <w:ind w:left="220"/>
              <w:spacing w:after="0"/>
              <w:rPr>
                <w:sz w:val="20"/>
                <w:szCs w:val="20"/>
                <w:color w:val="auto"/>
              </w:rPr>
            </w:pPr>
            <w:r>
              <w:rPr>
                <w:rFonts w:ascii="Arial" w:cs="Arial" w:eastAsia="Arial" w:hAnsi="Arial"/>
                <w:sz w:val="14"/>
                <w:szCs w:val="14"/>
                <w:color w:val="auto"/>
              </w:rPr>
              <w:t>Total Voice Quarterly Net Additions</w:t>
            </w:r>
          </w:p>
        </w:tc>
        <w:tc>
          <w:tcPr>
            <w:tcW w:w="2240" w:type="dxa"/>
            <w:vAlign w:val="bottom"/>
            <w:gridSpan w:val="2"/>
          </w:tcPr>
          <w:p>
            <w:pPr>
              <w:jc w:val="right"/>
              <w:ind w:right="6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(251)</w:t>
            </w:r>
          </w:p>
        </w:tc>
      </w:tr>
      <w:tr>
        <w:trPr>
          <w:trHeight w:val="24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Enterprise </w:t>
            </w:r>
            <w:r>
              <w:rPr>
                <w:rFonts w:ascii="Arial" w:cs="Arial" w:eastAsia="Arial" w:hAnsi="Arial"/>
                <w:sz w:val="18"/>
                <w:szCs w:val="18"/>
                <w:b w:val="1"/>
                <w:bCs w:val="1"/>
                <w:color w:val="auto"/>
                <w:vertAlign w:val="superscript"/>
              </w:rPr>
              <w:t>(k)</w:t>
            </w:r>
          </w:p>
        </w:tc>
        <w:tc>
          <w:tcPr>
            <w:tcW w:w="86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188"/>
        </w:trPr>
        <w:tc>
          <w:tcPr>
            <w:tcW w:w="5980" w:type="dxa"/>
            <w:vAlign w:val="bottom"/>
          </w:tcPr>
          <w:p>
            <w:pPr>
              <w:ind w:left="180"/>
              <w:spacing w:after="0"/>
              <w:rPr>
                <w:sz w:val="20"/>
                <w:szCs w:val="20"/>
                <w:color w:val="auto"/>
              </w:rPr>
            </w:pPr>
            <w:r>
              <w:rPr>
                <w:rFonts w:ascii="Arial" w:cs="Arial" w:eastAsia="Arial" w:hAnsi="Arial"/>
                <w:sz w:val="14"/>
                <w:szCs w:val="14"/>
                <w:color w:val="auto"/>
              </w:rPr>
              <w:t>Enterprise Primary Service Units ("PSUs")</w:t>
            </w:r>
          </w:p>
        </w:tc>
        <w:tc>
          <w:tcPr>
            <w:tcW w:w="2240" w:type="dxa"/>
            <w:vAlign w:val="bottom"/>
            <w:gridSpan w:val="2"/>
          </w:tcPr>
          <w:p>
            <w:pPr>
              <w:jc w:val="right"/>
              <w:ind w:right="10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303</w:t>
            </w:r>
          </w:p>
        </w:tc>
      </w:tr>
      <w:tr>
        <w:trPr>
          <w:trHeight w:val="203"/>
        </w:trPr>
        <w:tc>
          <w:tcPr>
            <w:tcW w:w="5980" w:type="dxa"/>
            <w:vAlign w:val="bottom"/>
          </w:tcPr>
          <w:p>
            <w:pPr>
              <w:ind w:left="180"/>
              <w:spacing w:after="0"/>
              <w:rPr>
                <w:sz w:val="20"/>
                <w:szCs w:val="20"/>
                <w:color w:val="auto"/>
              </w:rPr>
            </w:pPr>
            <w:r>
              <w:rPr>
                <w:rFonts w:ascii="Arial" w:cs="Arial" w:eastAsia="Arial" w:hAnsi="Arial"/>
                <w:sz w:val="14"/>
                <w:szCs w:val="14"/>
                <w:color w:val="auto"/>
              </w:rPr>
              <w:t>Enterprise Quarterly Net Additions</w:t>
            </w:r>
          </w:p>
        </w:tc>
        <w:tc>
          <w:tcPr>
            <w:tcW w:w="2240" w:type="dxa"/>
            <w:vAlign w:val="bottom"/>
            <w:gridSpan w:val="2"/>
          </w:tcPr>
          <w:p>
            <w:pPr>
              <w:jc w:val="right"/>
              <w:ind w:right="10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5</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See footnotes on page 7.</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Addendum to Charter Communications, Inc. Fourth Quarter 2024 Earnings Release</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 of 7</w:t>
      </w:r>
    </w:p>
    <w:p>
      <w:pPr>
        <w:sectPr>
          <w:pgSz w:w="11900" w:h="16838" w:orient="portrait"/>
          <w:cols w:equalWidth="0" w:num="1">
            <w:col w:w="11220"/>
          </w:cols>
          <w:pgMar w:left="320" w:top="530" w:right="359" w:bottom="1440"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Customer premise equipment </w:t>
      </w:r>
      <w:r>
        <w:rPr>
          <w:rFonts w:ascii="Arial" w:cs="Arial" w:eastAsia="Arial" w:hAnsi="Arial"/>
          <w:sz w:val="18"/>
          <w:szCs w:val="18"/>
          <w:color w:val="auto"/>
          <w:vertAlign w:val="superscript"/>
        </w:rPr>
        <w:t>(l)</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Scalable infrastructure </w:t>
      </w:r>
      <w:r>
        <w:rPr>
          <w:rFonts w:ascii="Arial" w:cs="Arial" w:eastAsia="Arial" w:hAnsi="Arial"/>
          <w:sz w:val="18"/>
          <w:szCs w:val="18"/>
          <w:color w:val="auto"/>
          <w:vertAlign w:val="superscript"/>
        </w:rPr>
        <w:t>(m)</w:t>
      </w:r>
    </w:p>
    <w:p>
      <w:pPr>
        <w:ind w:left="140"/>
        <w:spacing w:after="0" w:line="225" w:lineRule="auto"/>
        <w:rPr>
          <w:sz w:val="20"/>
          <w:szCs w:val="20"/>
          <w:color w:val="auto"/>
        </w:rPr>
      </w:pPr>
      <w:r>
        <w:rPr>
          <w:rFonts w:ascii="Arial" w:cs="Arial" w:eastAsia="Arial" w:hAnsi="Arial"/>
          <w:sz w:val="14"/>
          <w:szCs w:val="14"/>
          <w:color w:val="auto"/>
        </w:rPr>
        <w:t xml:space="preserve">Upgrade/rebuild </w:t>
      </w:r>
      <w:r>
        <w:rPr>
          <w:rFonts w:ascii="Arial" w:cs="Arial" w:eastAsia="Arial" w:hAnsi="Arial"/>
          <w:sz w:val="18"/>
          <w:szCs w:val="18"/>
          <w:color w:val="auto"/>
          <w:vertAlign w:val="superscript"/>
        </w:rPr>
        <w:t>(n)</w:t>
      </w:r>
    </w:p>
    <w:p>
      <w:pPr>
        <w:ind w:left="140"/>
        <w:spacing w:after="0"/>
        <w:rPr>
          <w:sz w:val="20"/>
          <w:szCs w:val="20"/>
          <w:color w:val="auto"/>
        </w:rPr>
      </w:pPr>
      <w:r>
        <w:rPr>
          <w:rFonts w:ascii="Arial" w:cs="Arial" w:eastAsia="Arial" w:hAnsi="Arial"/>
          <w:sz w:val="14"/>
          <w:szCs w:val="14"/>
          <w:color w:val="auto"/>
        </w:rPr>
        <w:t xml:space="preserve">Support capital </w:t>
      </w:r>
      <w:r>
        <w:rPr>
          <w:rFonts w:ascii="Arial" w:cs="Arial" w:eastAsia="Arial" w:hAnsi="Arial"/>
          <w:sz w:val="18"/>
          <w:szCs w:val="18"/>
          <w:color w:val="auto"/>
          <w:vertAlign w:val="superscript"/>
        </w:rPr>
        <w:t>(o)</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Capital expenditures, excluding line extensions</w:t>
      </w:r>
    </w:p>
    <w:p>
      <w:pPr>
        <w:spacing w:after="0" w:line="176" w:lineRule="exact"/>
        <w:rPr>
          <w:sz w:val="20"/>
          <w:szCs w:val="20"/>
          <w:color w:val="auto"/>
        </w:rPr>
      </w:pPr>
    </w:p>
    <w:p>
      <w:pPr>
        <w:ind w:left="260"/>
        <w:spacing w:after="0" w:line="310" w:lineRule="auto"/>
        <w:rPr>
          <w:sz w:val="20"/>
          <w:szCs w:val="20"/>
          <w:color w:val="auto"/>
        </w:rPr>
      </w:pPr>
      <w:r>
        <w:rPr>
          <w:rFonts w:ascii="Arial" w:cs="Arial" w:eastAsia="Arial" w:hAnsi="Arial"/>
          <w:sz w:val="14"/>
          <w:szCs w:val="14"/>
          <w:color w:val="auto"/>
        </w:rPr>
        <w:t>Subsidized rural construction line extensions Other line extensions</w:t>
      </w:r>
    </w:p>
    <w:p>
      <w:pPr>
        <w:ind w:left="140"/>
        <w:spacing w:after="0"/>
        <w:rPr>
          <w:sz w:val="20"/>
          <w:szCs w:val="20"/>
          <w:color w:val="auto"/>
        </w:rPr>
      </w:pPr>
      <w:r>
        <w:rPr>
          <w:rFonts w:ascii="Arial" w:cs="Arial" w:eastAsia="Arial" w:hAnsi="Arial"/>
          <w:sz w:val="14"/>
          <w:szCs w:val="14"/>
          <w:color w:val="auto"/>
        </w:rPr>
        <w:t xml:space="preserve">Total line extensions </w:t>
      </w:r>
      <w:r>
        <w:rPr>
          <w:rFonts w:ascii="Arial" w:cs="Arial" w:eastAsia="Arial" w:hAnsi="Arial"/>
          <w:sz w:val="18"/>
          <w:szCs w:val="18"/>
          <w:color w:val="auto"/>
          <w:vertAlign w:val="superscript"/>
        </w:rPr>
        <w:t>(p)</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capital expenditures</w:t>
      </w:r>
    </w:p>
    <w:p>
      <w:pPr>
        <w:spacing w:after="0" w:line="20" w:lineRule="exact"/>
        <w:rPr>
          <w:sz w:val="20"/>
          <w:szCs w:val="20"/>
          <w:color w:val="auto"/>
        </w:rPr>
      </w:pPr>
      <w:r>
        <w:rPr>
          <w:sz w:val="20"/>
          <w:szCs w:val="20"/>
          <w:color w:val="auto"/>
        </w:rPr>
        <w:br w:type="column"/>
      </w:r>
    </w:p>
    <w:p>
      <w:pPr>
        <w:jc w:val="center"/>
        <w:ind w:right="3420"/>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ind w:right="3420"/>
        <w:spacing w:after="0"/>
        <w:rPr>
          <w:sz w:val="20"/>
          <w:szCs w:val="20"/>
          <w:color w:val="auto"/>
        </w:rPr>
      </w:pPr>
      <w:r>
        <w:rPr>
          <w:rFonts w:ascii="Arial" w:cs="Arial" w:eastAsia="Arial" w:hAnsi="Arial"/>
          <w:sz w:val="16"/>
          <w:szCs w:val="16"/>
          <w:b w:val="1"/>
          <w:bCs w:val="1"/>
          <w:color w:val="auto"/>
        </w:rPr>
        <w:t>UNAUDITED CAPITAL EXPENDITURES</w:t>
      </w:r>
    </w:p>
    <w:p>
      <w:pPr>
        <w:spacing w:after="0" w:line="19"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(dollars in millions)</w:t>
      </w:r>
    </w:p>
    <w:p>
      <w:pPr>
        <w:spacing w:after="0" w:line="277" w:lineRule="exact"/>
        <w:rPr>
          <w:sz w:val="20"/>
          <w:szCs w:val="20"/>
          <w:color w:val="auto"/>
        </w:rPr>
      </w:pPr>
    </w:p>
    <w:tbl>
      <w:tblPr>
        <w:tblLayout w:type="fixed"/>
        <w:tblInd w:w="2460" w:type="dxa"/>
        <w:tblCellMar>
          <w:top w:w="0" w:type="dxa"/>
          <w:left w:w="0" w:type="dxa"/>
          <w:bottom w:w="0" w:type="dxa"/>
          <w:right w:w="0" w:type="dxa"/>
        </w:tblCellMar>
      </w:tblPr>
      <w:tr>
        <w:trPr>
          <w:trHeight w:val="197"/>
        </w:trPr>
        <w:tc>
          <w:tcPr>
            <w:tcW w:w="120" w:type="dxa"/>
            <w:vAlign w:val="bottom"/>
          </w:tcPr>
          <w:p>
            <w:pPr>
              <w:spacing w:after="0"/>
              <w:rPr>
                <w:sz w:val="17"/>
                <w:szCs w:val="17"/>
                <w:color w:val="auto"/>
              </w:rPr>
            </w:pPr>
          </w:p>
        </w:tc>
        <w:tc>
          <w:tcPr>
            <w:tcW w:w="26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7"/>
                <w:szCs w:val="17"/>
                <w:color w:val="auto"/>
              </w:rPr>
            </w:pPr>
          </w:p>
        </w:tc>
        <w:tc>
          <w:tcPr>
            <w:tcW w:w="23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r>
      <w:tr>
        <w:trPr>
          <w:trHeight w:val="189"/>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2,172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2,286</w:t>
            </w:r>
          </w:p>
        </w:tc>
      </w:tr>
      <w:tr>
        <w:trPr>
          <w:trHeight w:val="203"/>
        </w:trPr>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1,368</w:t>
            </w:r>
          </w:p>
        </w:tc>
      </w:tr>
      <w:tr>
        <w:trPr>
          <w:trHeight w:val="203"/>
        </w:trPr>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1,719</w:t>
            </w:r>
          </w:p>
        </w:tc>
      </w:tr>
      <w:tr>
        <w:trPr>
          <w:trHeight w:val="206"/>
        </w:trPr>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w:t>
            </w:r>
          </w:p>
        </w:tc>
      </w:tr>
      <w:tr>
        <w:trPr>
          <w:trHeight w:val="196"/>
        </w:trPr>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7,053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w:t>
            </w:r>
          </w:p>
        </w:tc>
      </w:tr>
      <w:tr>
        <w:trPr>
          <w:trHeight w:val="327"/>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2,144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1,822</w:t>
            </w:r>
          </w:p>
        </w:tc>
      </w:tr>
      <w:tr>
        <w:trPr>
          <w:trHeight w:val="207"/>
        </w:trPr>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2,193</w:t>
            </w:r>
          </w:p>
        </w:tc>
      </w:tr>
      <w:tr>
        <w:trPr>
          <w:trHeight w:val="196"/>
        </w:trPr>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4,216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4,015</w:t>
            </w:r>
          </w:p>
        </w:tc>
      </w:tr>
      <w:tr>
        <w:trPr>
          <w:trHeight w:val="196"/>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11,269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11,115</w:t>
            </w:r>
          </w:p>
        </w:tc>
      </w:tr>
      <w:tr>
        <w:trPr>
          <w:trHeight w:val="25"/>
        </w:trPr>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3100" w:space="340"/>
            <w:col w:w="7780"/>
          </w:cols>
          <w:pgMar w:left="320" w:top="530" w:right="359" w:bottom="1440" w:gutter="0" w:footer="0" w:header="0"/>
        </w:sectPr>
      </w:pP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440" w:type="dxa"/>
            <w:vAlign w:val="bottom"/>
          </w:tcPr>
          <w:p>
            <w:pPr>
              <w:spacing w:after="0"/>
              <w:rPr>
                <w:sz w:val="20"/>
                <w:szCs w:val="20"/>
                <w:color w:val="auto"/>
              </w:rPr>
            </w:pPr>
            <w:r>
              <w:rPr>
                <w:rFonts w:ascii="Arial" w:cs="Arial" w:eastAsia="Arial" w:hAnsi="Arial"/>
                <w:sz w:val="14"/>
                <w:szCs w:val="14"/>
                <w:color w:val="auto"/>
              </w:rPr>
              <w:t>Capital expenditures included in total related to:</w:t>
            </w:r>
          </w:p>
        </w:tc>
        <w:tc>
          <w:tcPr>
            <w:tcW w:w="1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4440" w:type="dxa"/>
            <w:vAlign w:val="bottom"/>
          </w:tcPr>
          <w:p>
            <w:pPr>
              <w:ind w:left="100"/>
              <w:spacing w:after="0"/>
              <w:rPr>
                <w:sz w:val="20"/>
                <w:szCs w:val="20"/>
                <w:color w:val="auto"/>
              </w:rPr>
            </w:pPr>
            <w:r>
              <w:rPr>
                <w:rFonts w:ascii="Arial" w:cs="Arial" w:eastAsia="Arial" w:hAnsi="Arial"/>
                <w:sz w:val="14"/>
                <w:szCs w:val="14"/>
                <w:color w:val="auto"/>
              </w:rPr>
              <w:t>Commercial services</w:t>
            </w:r>
          </w:p>
        </w:tc>
        <w:tc>
          <w:tcPr>
            <w:tcW w:w="19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334</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381</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1,437</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1,560</w:t>
            </w:r>
          </w:p>
        </w:tc>
      </w:tr>
      <w:tr>
        <w:trPr>
          <w:trHeight w:val="215"/>
        </w:trPr>
        <w:tc>
          <w:tcPr>
            <w:tcW w:w="4440" w:type="dxa"/>
            <w:vAlign w:val="bottom"/>
          </w:tcPr>
          <w:p>
            <w:pPr>
              <w:ind w:left="100"/>
              <w:spacing w:after="0"/>
              <w:rPr>
                <w:sz w:val="20"/>
                <w:szCs w:val="20"/>
                <w:color w:val="auto"/>
              </w:rPr>
            </w:pPr>
            <w:r>
              <w:rPr>
                <w:rFonts w:ascii="Arial" w:cs="Arial" w:eastAsia="Arial" w:hAnsi="Arial"/>
                <w:sz w:val="14"/>
                <w:szCs w:val="14"/>
                <w:color w:val="auto"/>
              </w:rPr>
              <w:t xml:space="preserve">Subsidized rural construction initiative </w:t>
            </w:r>
            <w:r>
              <w:rPr>
                <w:rFonts w:ascii="Arial" w:cs="Arial" w:eastAsia="Arial" w:hAnsi="Arial"/>
                <w:sz w:val="18"/>
                <w:szCs w:val="18"/>
                <w:color w:val="auto"/>
                <w:vertAlign w:val="superscript"/>
              </w:rPr>
              <w:t>(q)</w:t>
            </w:r>
          </w:p>
        </w:tc>
        <w:tc>
          <w:tcPr>
            <w:tcW w:w="19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577</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426</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2,152</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1,870</w:t>
            </w:r>
          </w:p>
        </w:tc>
      </w:tr>
      <w:tr>
        <w:trPr>
          <w:trHeight w:val="190"/>
        </w:trPr>
        <w:tc>
          <w:tcPr>
            <w:tcW w:w="4440" w:type="dxa"/>
            <w:vAlign w:val="bottom"/>
          </w:tcPr>
          <w:p>
            <w:pPr>
              <w:ind w:left="100"/>
              <w:spacing w:after="0"/>
              <w:rPr>
                <w:sz w:val="20"/>
                <w:szCs w:val="20"/>
                <w:color w:val="auto"/>
              </w:rPr>
            </w:pPr>
            <w:r>
              <w:rPr>
                <w:rFonts w:ascii="Arial" w:cs="Arial" w:eastAsia="Arial" w:hAnsi="Arial"/>
                <w:sz w:val="14"/>
                <w:szCs w:val="14"/>
                <w:color w:val="auto"/>
              </w:rPr>
              <w:t>Mobile</w:t>
            </w:r>
          </w:p>
        </w:tc>
        <w:tc>
          <w:tcPr>
            <w:tcW w:w="19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314</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See footnotes on page 7.</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Addendum to Charter Communications, Inc. Fourth Quarter 2024 Earnings Release</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 of 7</w:t>
      </w:r>
    </w:p>
    <w:p>
      <w:pPr>
        <w:sectPr>
          <w:pgSz w:w="11900" w:h="16838" w:orient="portrait"/>
          <w:cols w:equalWidth="0" w:num="1">
            <w:col w:w="11220"/>
          </w:cols>
          <w:pgMar w:left="320" w:top="530" w:right="35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FOOTNOTES</w:t>
      </w:r>
    </w:p>
    <w:p>
      <w:pPr>
        <w:spacing w:after="0" w:line="250" w:lineRule="exact"/>
        <w:rPr>
          <w:sz w:val="20"/>
          <w:szCs w:val="20"/>
          <w:color w:val="auto"/>
        </w:rPr>
      </w:pPr>
    </w:p>
    <w:p>
      <w:pPr>
        <w:jc w:val="both"/>
        <w:ind w:left="34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EBITDA is defined as net income attributable to Charter shareholders plus net income attributable to noncontrolling interest, net interest expense, income taxes, depreciation and amortization, stock compensation expense, other (income) expenses, net and other operating (income) expenses, net such as special charges and (gain) loss on sale or retirement of assets. As such, it eliminates the significant non-cash depreciation and amortization expense that results from the capital-intensive nature of our businesses as well as other non-cash or special items, and is unaffected by our capital structure or investment activities. Free cash flow is defined as net cash flows from operating activities, less capital expenditures and changes in accrued expenses related to capital expenditures.</w:t>
      </w:r>
    </w:p>
    <w:p>
      <w:pPr>
        <w:spacing w:after="0" w:line="2" w:lineRule="exact"/>
        <w:rPr>
          <w:rFonts w:ascii="Arial" w:cs="Arial" w:eastAsia="Arial" w:hAnsi="Arial"/>
          <w:sz w:val="14"/>
          <w:szCs w:val="14"/>
          <w:color w:val="auto"/>
        </w:rPr>
      </w:pPr>
    </w:p>
    <w:p>
      <w:pPr>
        <w:jc w:val="both"/>
        <w:ind w:left="340" w:hanging="332"/>
        <w:spacing w:after="0" w:line="256"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previously reported “Costs to Service Customers” expense category has been separated between “Field and Technology Operations” and “Customer Operations” for all periods presented with the adoption of FASB's Accounting Standards Update No. 2023-07, Improvements to Reportable Segment Disclosures. The new presentation does not result in any changes to total operating expenses or Adjusted EBITDA for any period presented. Other expense excludes stock compensation expense. Total operating costs and expenses excludes stock compensation expense, depreciation and amortization and other operating (income) expenses, net.</w:t>
      </w:r>
    </w:p>
    <w:p>
      <w:pPr>
        <w:spacing w:after="0" w:line="1" w:lineRule="exact"/>
        <w:rPr>
          <w:rFonts w:ascii="Arial" w:cs="Arial" w:eastAsia="Arial" w:hAnsi="Arial"/>
          <w:sz w:val="14"/>
          <w:szCs w:val="14"/>
          <w:color w:val="auto"/>
        </w:rPr>
      </w:pPr>
    </w:p>
    <w:p>
      <w:pPr>
        <w:jc w:val="both"/>
        <w:ind w:left="340" w:hanging="332"/>
        <w:spacing w:after="0" w:line="262"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calculate the aging of customer accounts based on the monthly billing cycle for each account in accordance with our collection policies. On that basis, at December 31, 2024, September 30, 2024 and December 31, 2023, customers included approximately 102,500, 127,300 and 135,800 customers, respectively, whose accounts were over 60 days past due, approximately 12,100, 11,900 and 54,700 customers, respectively, whose accounts were over 90 days past due and approximately 13,600, 11,800 and 286,000 customers, respectively, whose accounts were over 120 days past due. The decrease in accounts past due is predominately due to revisions to customer account balances associated with the end of the Federal Communications Commission's Affordable Connectivity Program, including balance write-offs and conversion to payment plans.</w:t>
      </w:r>
    </w:p>
    <w:p>
      <w:pPr>
        <w:spacing w:after="0" w:line="160" w:lineRule="exact"/>
        <w:rPr>
          <w:rFonts w:ascii="Arial" w:cs="Arial" w:eastAsia="Arial" w:hAnsi="Arial"/>
          <w:sz w:val="14"/>
          <w:szCs w:val="14"/>
          <w:color w:val="auto"/>
        </w:rPr>
      </w:pPr>
    </w:p>
    <w:p>
      <w:pPr>
        <w:jc w:val="both"/>
        <w:ind w:left="340" w:hanging="332"/>
        <w:spacing w:after="0" w:line="256"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Passings represent our estimate of the number of units, such as single family homes, apartment and condominium units and SMB and enterprise sites passed by our cable distribution network in the areas where we offer the service indicated. These estimates are based upon the information available at this time and are updated for all periods presented when new information becomes available. In the fourth quarter of 2024, we completed a review of our passings which resulted in a net reduction of approximately 1.7 million passings for all periods presented.</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Customer relationships include the number of customers that receive one or more levels of service, encompassing Internet, video, mobile and voice services, without regard to which service(s) such customers receive. Customers who reside in residential multiple dwelling units ("MDUs") and that are billed under bulk contracts are counted based on the number of billed units within each bulk MDU. Total customer relationships exclude enterprise and mobile-only customer relationships.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Penetration represents residential and SMB customers as a percentage of estimated passings. Penetration excludes mobile-only customers.</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Monthly residential revenue per residential customer is calculated as total residential quarterly revenue divided by three divided by average residential customer relationships during the respective quarter and excludes mobile-only customer relationships.</w:t>
      </w:r>
    </w:p>
    <w:p>
      <w:pPr>
        <w:ind w:left="340" w:hanging="332"/>
        <w:spacing w:after="0" w:line="25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Monthly SMB revenue per SMB customer is calculated as total SMB quarterly revenue divided by three divided by average SMB customer relationships during the respective quarter and excludes mobile-only customer relationships.</w:t>
      </w:r>
    </w:p>
    <w:p>
      <w:pPr>
        <w:ind w:left="340" w:right="20" w:hanging="332"/>
        <w:spacing w:after="0" w:line="261" w:lineRule="auto"/>
        <w:tabs>
          <w:tab w:leader="none" w:pos="333"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 product, two product and three or more product penetration represents the number of residential customers that subscribe to one product, two products or three or more products, respectively, as a percentage of residential customer relationships, excluding mobile-only customers.</w:t>
      </w:r>
    </w:p>
    <w:p>
      <w:pPr>
        <w:ind w:left="340" w:hanging="332"/>
        <w:spacing w:after="0" w:line="251" w:lineRule="auto"/>
        <w:tabs>
          <w:tab w:leader="none" w:pos="333"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Mobile lines include phones and tablets which require one of our standard rate plans (e.g., "Unlimited" or "By the Gig"). Mobile lines exclude wearables and other devices that do not require standard phone rate plans.</w:t>
      </w: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Enterprise PSUs represents the aggregate number of fiber service offerings counting each separate service offering at each customer location as an individual PSU.</w:t>
      </w:r>
    </w:p>
    <w:p>
      <w:pPr>
        <w:spacing w:after="0" w:line="14" w:lineRule="exact"/>
        <w:rPr>
          <w:rFonts w:ascii="Arial" w:cs="Arial" w:eastAsia="Arial" w:hAnsi="Arial"/>
          <w:sz w:val="14"/>
          <w:szCs w:val="14"/>
          <w:color w:val="auto"/>
        </w:rPr>
      </w:pPr>
    </w:p>
    <w:p>
      <w:pPr>
        <w:ind w:left="340" w:hanging="332"/>
        <w:spacing w:after="0" w:line="261" w:lineRule="auto"/>
        <w:tabs>
          <w:tab w:leader="none" w:pos="333" w:val="left"/>
        </w:tabs>
        <w:numPr>
          <w:ilvl w:val="0"/>
          <w:numId w:val="10"/>
        </w:numPr>
        <w:rPr>
          <w:rFonts w:ascii="Arial" w:cs="Arial" w:eastAsia="Arial" w:hAnsi="Arial"/>
          <w:sz w:val="14"/>
          <w:szCs w:val="14"/>
          <w:color w:val="auto"/>
        </w:rPr>
      </w:pPr>
      <w:r>
        <w:rPr>
          <w:rFonts w:ascii="Arial" w:cs="Arial" w:eastAsia="Arial" w:hAnsi="Arial"/>
          <w:sz w:val="14"/>
          <w:szCs w:val="14"/>
          <w:color w:val="auto"/>
        </w:rPr>
        <w:t>Customer premise equipment includes equipment and devices located at the customer's premise used to deliver our Internet, video and voice services (e.g., modems, routers and set-top boxes), as well as installation costs.</w:t>
      </w:r>
    </w:p>
    <w:p>
      <w:pPr>
        <w:ind w:left="340" w:hanging="332"/>
        <w:spacing w:after="0" w:line="25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Scalable infrastructure includes costs, not related to customer premise equipment or our network, to secure growth of new customers or provide service enhancements (e.g., headend equipment).</w:t>
      </w: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Upgrade/rebuild includes costs to modify or replace existing fiber/coaxial cable networks, including our network evolution initiative.</w:t>
      </w:r>
    </w:p>
    <w:p>
      <w:pPr>
        <w:spacing w:after="0" w:line="14"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Support capital includes costs associated with the replacement or enhancement of non-network assets (e.g., back-office systems, non-network equipment, land and buildings, vehicles, tools and test equipment).</w:t>
      </w:r>
    </w:p>
    <w:p>
      <w:pPr>
        <w:ind w:left="340" w:hanging="332"/>
        <w:spacing w:after="0" w:line="25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Line extensions include network costs associated with entering new service areas (e.g., fiber/coaxial cable, amplifiers, electronic equipment, make-ready and design engineering).</w:t>
      </w:r>
    </w:p>
    <w:p>
      <w:pPr>
        <w:ind w:left="340" w:hanging="332"/>
        <w:spacing w:after="0" w:line="284"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subsidized rural construction initiative subcategory includes projects for which we are receiving subsidies from federal, state and local governments, excluding customer premise equipment and installation.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Addendum to Charter Communications, Inc. Fourth Quarter 2024 Earnings Release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7</w:t>
      </w:r>
    </w:p>
    <w:sectPr>
      <w:pgSz w:w="11900" w:h="16838" w:orient="portrait"/>
      <w:cols w:equalWidth="0" w:num="1">
        <w:col w:w="11240"/>
      </w:cols>
      <w:pgMar w:left="320" w:top="5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2025-01-31T06:07:28Z</dcterms:created>
  <dcterms:modified xsi:type="dcterms:W3CDTF">2025-01-31T06:07:28Z</dcterms:modified>
</cp:coreProperties>
</file>