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As filed with the Securities and Exchange Commission on July 26, 2019</w:t>
      </w:r>
    </w:p>
    <w:p>
      <w:pPr>
        <w:spacing w:after="0" w:line="27" w:lineRule="exact"/>
        <w:rPr>
          <w:sz w:val="24"/>
          <w:szCs w:val="24"/>
          <w:color w:val="auto"/>
        </w:rPr>
      </w:pPr>
    </w:p>
    <w:p>
      <w:pPr>
        <w:ind w:left="8840"/>
        <w:spacing w:after="0"/>
        <w:rPr>
          <w:sz w:val="20"/>
          <w:szCs w:val="20"/>
          <w:color w:val="auto"/>
        </w:rPr>
      </w:pPr>
      <w:r>
        <w:rPr>
          <w:rFonts w:ascii="Arial" w:cs="Arial" w:eastAsia="Arial" w:hAnsi="Arial"/>
          <w:sz w:val="16"/>
          <w:szCs w:val="16"/>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54610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97790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REGISTRATION STATEMENT</w:t>
      </w:r>
    </w:p>
    <w:p>
      <w:pPr>
        <w:jc w:val="center"/>
        <w:ind w:right="20"/>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Charter Communications,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94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0"/>
              </w:rPr>
              <w:t>400 Atlantic Street</w:t>
            </w:r>
          </w:p>
        </w:tc>
        <w:tc>
          <w:tcPr>
            <w:tcW w:w="1620" w:type="dxa"/>
            <w:vAlign w:val="bottom"/>
          </w:tcPr>
          <w:p>
            <w:pPr>
              <w:spacing w:after="0"/>
              <w:rPr>
                <w:sz w:val="18"/>
                <w:szCs w:val="18"/>
                <w:color w:val="auto"/>
              </w:rPr>
            </w:pPr>
          </w:p>
        </w:tc>
      </w:tr>
      <w:tr>
        <w:trPr>
          <w:trHeight w:val="225"/>
        </w:trPr>
        <w:tc>
          <w:tcPr>
            <w:tcW w:w="2120" w:type="dxa"/>
            <w:vAlign w:val="bottom"/>
          </w:tcPr>
          <w:p>
            <w:pPr>
              <w:jc w:val="center"/>
              <w:ind w:right="162"/>
              <w:spacing w:after="0"/>
              <w:rPr>
                <w:sz w:val="20"/>
                <w:szCs w:val="20"/>
                <w:color w:val="auto"/>
              </w:rPr>
            </w:pPr>
            <w:r>
              <w:rPr>
                <w:rFonts w:ascii="Arial" w:cs="Arial" w:eastAsia="Arial" w:hAnsi="Arial"/>
                <w:sz w:val="18"/>
                <w:szCs w:val="18"/>
                <w:b w:val="1"/>
                <w:bCs w:val="1"/>
                <w:color w:val="auto"/>
                <w:w w:val="91"/>
              </w:rPr>
              <w:t>Delaware</w:t>
            </w:r>
          </w:p>
        </w:tc>
        <w:tc>
          <w:tcPr>
            <w:tcW w:w="1300" w:type="dxa"/>
            <w:vAlign w:val="bottom"/>
          </w:tcPr>
          <w:p>
            <w:pPr>
              <w:spacing w:after="0"/>
              <w:rPr>
                <w:sz w:val="19"/>
                <w:szCs w:val="19"/>
                <w:color w:val="auto"/>
              </w:rPr>
            </w:pPr>
          </w:p>
        </w:tc>
        <w:tc>
          <w:tcPr>
            <w:tcW w:w="3840" w:type="dxa"/>
            <w:vAlign w:val="bottom"/>
            <w:gridSpan w:val="2"/>
          </w:tcPr>
          <w:p>
            <w:pPr>
              <w:jc w:val="center"/>
              <w:ind w:right="1300"/>
              <w:spacing w:after="0"/>
              <w:rPr>
                <w:sz w:val="20"/>
                <w:szCs w:val="20"/>
                <w:color w:val="auto"/>
              </w:rPr>
            </w:pPr>
            <w:r>
              <w:rPr>
                <w:rFonts w:ascii="Arial" w:cs="Arial" w:eastAsia="Arial" w:hAnsi="Arial"/>
                <w:sz w:val="18"/>
                <w:szCs w:val="18"/>
                <w:b w:val="1"/>
                <w:bCs w:val="1"/>
                <w:color w:val="auto"/>
                <w:w w:val="91"/>
              </w:rPr>
              <w:t>Stamford, Connecticut 06901</w:t>
            </w:r>
          </w:p>
        </w:tc>
        <w:tc>
          <w:tcPr>
            <w:tcW w:w="1620" w:type="dxa"/>
            <w:vAlign w:val="bottom"/>
          </w:tcPr>
          <w:p>
            <w:pPr>
              <w:jc w:val="center"/>
              <w:ind w:left="422"/>
              <w:spacing w:after="0"/>
              <w:rPr>
                <w:sz w:val="20"/>
                <w:szCs w:val="20"/>
                <w:color w:val="auto"/>
              </w:rPr>
            </w:pPr>
            <w:r>
              <w:rPr>
                <w:rFonts w:ascii="Arial" w:cs="Arial" w:eastAsia="Arial" w:hAnsi="Arial"/>
                <w:sz w:val="18"/>
                <w:szCs w:val="18"/>
                <w:b w:val="1"/>
                <w:bCs w:val="1"/>
                <w:color w:val="auto"/>
                <w:w w:val="91"/>
              </w:rPr>
              <w:t>84-1496755</w:t>
            </w:r>
          </w:p>
        </w:tc>
      </w:tr>
      <w:tr>
        <w:trPr>
          <w:trHeight w:val="149"/>
        </w:trPr>
        <w:tc>
          <w:tcPr>
            <w:tcW w:w="212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00" w:type="dxa"/>
            <w:vAlign w:val="bottom"/>
          </w:tcPr>
          <w:p>
            <w:pPr>
              <w:spacing w:after="0"/>
              <w:rPr>
                <w:sz w:val="12"/>
                <w:szCs w:val="12"/>
                <w:color w:val="auto"/>
              </w:rPr>
            </w:pPr>
          </w:p>
        </w:tc>
        <w:tc>
          <w:tcPr>
            <w:tcW w:w="3840" w:type="dxa"/>
            <w:vAlign w:val="bottom"/>
            <w:gridSpan w:val="2"/>
          </w:tcPr>
          <w:p>
            <w:pPr>
              <w:jc w:val="center"/>
              <w:ind w:right="1300"/>
              <w:spacing w:after="0" w:line="149" w:lineRule="exact"/>
              <w:rPr>
                <w:sz w:val="20"/>
                <w:szCs w:val="20"/>
                <w:color w:val="auto"/>
              </w:rPr>
            </w:pPr>
            <w:r>
              <w:rPr>
                <w:rFonts w:ascii="Arial" w:cs="Arial" w:eastAsia="Arial" w:hAnsi="Arial"/>
                <w:sz w:val="14"/>
                <w:szCs w:val="14"/>
                <w:b w:val="1"/>
                <w:bCs w:val="1"/>
                <w:color w:val="auto"/>
                <w:w w:val="91"/>
              </w:rPr>
              <w:t>(Address including zip code of</w:t>
            </w:r>
          </w:p>
        </w:tc>
        <w:tc>
          <w:tcPr>
            <w:tcW w:w="1620" w:type="dxa"/>
            <w:vAlign w:val="bottom"/>
          </w:tcPr>
          <w:p>
            <w:pPr>
              <w:jc w:val="center"/>
              <w:ind w:left="42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120" w:type="dxa"/>
            <w:vAlign w:val="bottom"/>
          </w:tcPr>
          <w:p>
            <w:pPr>
              <w:jc w:val="center"/>
              <w:ind w:right="162"/>
              <w:spacing w:after="0"/>
              <w:rPr>
                <w:sz w:val="20"/>
                <w:szCs w:val="20"/>
                <w:color w:val="auto"/>
              </w:rPr>
            </w:pPr>
            <w:r>
              <w:rPr>
                <w:rFonts w:ascii="Arial" w:cs="Arial" w:eastAsia="Arial" w:hAnsi="Arial"/>
                <w:sz w:val="14"/>
                <w:szCs w:val="14"/>
                <w:b w:val="1"/>
                <w:bCs w:val="1"/>
                <w:color w:val="auto"/>
                <w:w w:val="94"/>
              </w:rPr>
              <w:t>incorporation or organization)</w:t>
            </w:r>
          </w:p>
        </w:tc>
        <w:tc>
          <w:tcPr>
            <w:tcW w:w="1300" w:type="dxa"/>
            <w:vAlign w:val="bottom"/>
          </w:tcPr>
          <w:p>
            <w:pPr>
              <w:spacing w:after="0"/>
              <w:rPr>
                <w:sz w:val="16"/>
                <w:szCs w:val="16"/>
                <w:color w:val="auto"/>
              </w:rPr>
            </w:pPr>
          </w:p>
        </w:tc>
        <w:tc>
          <w:tcPr>
            <w:tcW w:w="3840" w:type="dxa"/>
            <w:vAlign w:val="bottom"/>
            <w:gridSpan w:val="2"/>
          </w:tcPr>
          <w:p>
            <w:pPr>
              <w:jc w:val="center"/>
              <w:ind w:right="1320"/>
              <w:spacing w:after="0"/>
              <w:rPr>
                <w:sz w:val="20"/>
                <w:szCs w:val="20"/>
                <w:color w:val="auto"/>
              </w:rPr>
            </w:pPr>
            <w:r>
              <w:rPr>
                <w:rFonts w:ascii="Arial" w:cs="Arial" w:eastAsia="Arial" w:hAnsi="Arial"/>
                <w:sz w:val="14"/>
                <w:szCs w:val="14"/>
                <w:b w:val="1"/>
                <w:bCs w:val="1"/>
                <w:color w:val="auto"/>
                <w:w w:val="93"/>
              </w:rPr>
              <w:t>Principal Executive Offices)</w:t>
            </w:r>
          </w:p>
        </w:tc>
        <w:tc>
          <w:tcPr>
            <w:tcW w:w="1620" w:type="dxa"/>
            <w:vAlign w:val="bottom"/>
          </w:tcPr>
          <w:p>
            <w:pPr>
              <w:jc w:val="center"/>
              <w:ind w:left="422"/>
              <w:spacing w:after="0"/>
              <w:rPr>
                <w:sz w:val="20"/>
                <w:szCs w:val="20"/>
                <w:color w:val="auto"/>
              </w:rPr>
            </w:pPr>
            <w:r>
              <w:rPr>
                <w:rFonts w:ascii="Arial" w:cs="Arial" w:eastAsia="Arial" w:hAnsi="Arial"/>
                <w:sz w:val="14"/>
                <w:szCs w:val="14"/>
                <w:b w:val="1"/>
                <w:bCs w:val="1"/>
                <w:color w:val="auto"/>
                <w:w w:val="94"/>
              </w:rPr>
              <w:t>Identification No.)</w:t>
            </w:r>
          </w:p>
        </w:tc>
      </w:tr>
      <w:tr>
        <w:trPr>
          <w:trHeight w:val="174"/>
        </w:trPr>
        <w:tc>
          <w:tcPr>
            <w:tcW w:w="2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300" w:type="dxa"/>
            <w:vAlign w:val="bottom"/>
            <w:tcBorders>
              <w:bottom w:val="single" w:sz="8" w:color="auto"/>
            </w:tcBorders>
          </w:tcPr>
          <w:p>
            <w:pPr>
              <w:spacing w:after="0"/>
              <w:rPr>
                <w:sz w:val="15"/>
                <w:szCs w:val="15"/>
                <w:color w:val="auto"/>
              </w:rPr>
            </w:pPr>
          </w:p>
        </w:tc>
        <w:tc>
          <w:tcPr>
            <w:tcW w:w="1540" w:type="dxa"/>
            <w:vAlign w:val="bottom"/>
          </w:tcPr>
          <w:p>
            <w:pPr>
              <w:spacing w:after="0"/>
              <w:rPr>
                <w:sz w:val="15"/>
                <w:szCs w:val="15"/>
                <w:color w:val="auto"/>
              </w:rPr>
            </w:pPr>
          </w:p>
        </w:tc>
        <w:tc>
          <w:tcPr>
            <w:tcW w:w="1620" w:type="dxa"/>
            <w:vAlign w:val="bottom"/>
          </w:tcPr>
          <w:p>
            <w:pPr>
              <w:spacing w:after="0"/>
              <w:rPr>
                <w:sz w:val="15"/>
                <w:szCs w:val="15"/>
                <w:color w:val="auto"/>
              </w:rPr>
            </w:pPr>
          </w:p>
        </w:tc>
      </w:tr>
      <w:tr>
        <w:trPr>
          <w:trHeight w:val="376"/>
        </w:trPr>
        <w:tc>
          <w:tcPr>
            <w:tcW w:w="2120" w:type="dxa"/>
            <w:vAlign w:val="bottom"/>
          </w:tcPr>
          <w:p>
            <w:pPr>
              <w:spacing w:after="0"/>
              <w:rPr>
                <w:sz w:val="24"/>
                <w:szCs w:val="24"/>
                <w:color w:val="auto"/>
              </w:rPr>
            </w:pPr>
          </w:p>
        </w:tc>
        <w:tc>
          <w:tcPr>
            <w:tcW w:w="514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1"/>
              </w:rPr>
              <w:t>Charter Communications, Inc. 2019 Stock Incentive Plan</w:t>
            </w:r>
          </w:p>
        </w:tc>
        <w:tc>
          <w:tcPr>
            <w:tcW w:w="1620" w:type="dxa"/>
            <w:vAlign w:val="bottom"/>
          </w:tcPr>
          <w:p>
            <w:pPr>
              <w:spacing w:after="0"/>
              <w:rPr>
                <w:sz w:val="24"/>
                <w:szCs w:val="24"/>
                <w:color w:val="auto"/>
              </w:rPr>
            </w:pPr>
          </w:p>
        </w:tc>
      </w:tr>
      <w:tr>
        <w:trPr>
          <w:trHeight w:val="186"/>
        </w:trPr>
        <w:tc>
          <w:tcPr>
            <w:tcW w:w="2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40" w:type="dxa"/>
            <w:vAlign w:val="bottom"/>
            <w:gridSpan w:val="2"/>
          </w:tcPr>
          <w:p>
            <w:pPr>
              <w:jc w:val="center"/>
              <w:ind w:right="1520"/>
              <w:spacing w:after="0"/>
              <w:rPr>
                <w:sz w:val="20"/>
                <w:szCs w:val="20"/>
                <w:color w:val="auto"/>
              </w:rPr>
            </w:pPr>
            <w:r>
              <w:rPr>
                <w:rFonts w:ascii="Arial" w:cs="Arial" w:eastAsia="Arial" w:hAnsi="Arial"/>
                <w:sz w:val="14"/>
                <w:szCs w:val="14"/>
                <w:b w:val="1"/>
                <w:bCs w:val="1"/>
                <w:color w:val="auto"/>
                <w:w w:val="93"/>
              </w:rPr>
              <w:t>(Full title of the plans)</w:t>
            </w:r>
          </w:p>
        </w:tc>
        <w:tc>
          <w:tcPr>
            <w:tcW w:w="1620" w:type="dxa"/>
            <w:vAlign w:val="bottom"/>
          </w:tcPr>
          <w:p>
            <w:pPr>
              <w:spacing w:after="0"/>
              <w:rPr>
                <w:sz w:val="16"/>
                <w:szCs w:val="16"/>
                <w:color w:val="auto"/>
              </w:rPr>
            </w:pPr>
          </w:p>
        </w:tc>
      </w:tr>
    </w:tbl>
    <w:p>
      <w:pPr>
        <w:spacing w:after="0" w:line="14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Richard R. Dykhouse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Vice President, General Counsel and Corporate Secretary</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Charter Communications, Inc.</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400 Atlantic Street</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Stamford, Connecticut 06901</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(203) 905-7801</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116205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2"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2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60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52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00" w:type="dxa"/>
            <w:vAlign w:val="bottom"/>
          </w:tcPr>
          <w:p>
            <w:pPr>
              <w:ind w:left="146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8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3600" w:type="dxa"/>
            <w:vAlign w:val="bottom"/>
          </w:tcPr>
          <w:p>
            <w:pPr>
              <w:ind w:left="1460"/>
              <w:spacing w:after="0"/>
              <w:rPr>
                <w:sz w:val="20"/>
                <w:szCs w:val="20"/>
                <w:color w:val="auto"/>
              </w:rPr>
            </w:pPr>
            <w:r>
              <w:rPr>
                <w:rFonts w:ascii="Arial" w:cs="Arial" w:eastAsia="Arial" w:hAnsi="Arial"/>
                <w:sz w:val="18"/>
                <w:szCs w:val="18"/>
                <w:color w:val="auto"/>
                <w:w w:val="99"/>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107950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CALCULATION OF REGISTRATION FEE</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640" w:type="dxa"/>
            <w:vAlign w:val="bottom"/>
            <w:tcBorders>
              <w:top w:val="single" w:sz="8" w:color="auto"/>
              <w:bottom w:val="single" w:sz="8" w:color="auto"/>
            </w:tcBorders>
          </w:tcPr>
          <w:p>
            <w:pPr>
              <w:spacing w:after="0"/>
              <w:rPr>
                <w:sz w:val="3"/>
                <w:szCs w:val="3"/>
                <w:color w:val="auto"/>
              </w:rPr>
            </w:pPr>
          </w:p>
        </w:tc>
        <w:tc>
          <w:tcPr>
            <w:tcW w:w="15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464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760" w:type="dxa"/>
            <w:vAlign w:val="bottom"/>
            <w:tcBorders>
              <w:right w:val="single" w:sz="8" w:color="auto"/>
            </w:tcBorders>
          </w:tcPr>
          <w:p>
            <w:pPr>
              <w:jc w:val="center"/>
              <w:ind w:right="26"/>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Borders>
              <w:right w:val="single" w:sz="8" w:color="auto"/>
            </w:tcBorders>
          </w:tcPr>
          <w:p>
            <w:pPr>
              <w:spacing w:after="0"/>
              <w:rPr>
                <w:sz w:val="12"/>
                <w:szCs w:val="12"/>
                <w:color w:val="auto"/>
              </w:rPr>
            </w:pPr>
          </w:p>
        </w:tc>
        <w:tc>
          <w:tcPr>
            <w:tcW w:w="15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760" w:type="dxa"/>
            <w:vAlign w:val="bottom"/>
            <w:tcBorders>
              <w:right w:val="single" w:sz="8" w:color="auto"/>
            </w:tcBorders>
          </w:tcPr>
          <w:p>
            <w:pPr>
              <w:jc w:val="center"/>
              <w:ind w:right="46"/>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6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Title of Securities</w:t>
            </w:r>
          </w:p>
        </w:tc>
        <w:tc>
          <w:tcPr>
            <w:tcW w:w="156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9"/>
              </w:rPr>
              <w:t>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760" w:type="dxa"/>
            <w:vAlign w:val="bottom"/>
            <w:tcBorders>
              <w:right w:val="single" w:sz="8" w:color="auto"/>
            </w:tcBorders>
          </w:tcPr>
          <w:p>
            <w:pPr>
              <w:jc w:val="center"/>
              <w:ind w:right="26"/>
              <w:spacing w:after="0" w:line="158" w:lineRule="exact"/>
              <w:rPr>
                <w:sz w:val="20"/>
                <w:szCs w:val="20"/>
                <w:color w:val="auto"/>
              </w:rPr>
            </w:pPr>
            <w:r>
              <w:rPr>
                <w:rFonts w:ascii="Arial" w:cs="Arial" w:eastAsia="Arial" w:hAnsi="Arial"/>
                <w:sz w:val="14"/>
                <w:szCs w:val="14"/>
                <w:b w:val="1"/>
                <w:bCs w:val="1"/>
                <w:color w:val="auto"/>
                <w:w w:val="89"/>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to be Registered</w:t>
            </w:r>
          </w:p>
        </w:tc>
        <w:tc>
          <w:tcPr>
            <w:tcW w:w="1560" w:type="dxa"/>
            <w:vAlign w:val="bottom"/>
            <w:tcBorders>
              <w:bottom w:val="single" w:sz="8" w:color="auto"/>
              <w:right w:val="single" w:sz="8" w:color="auto"/>
            </w:tcBorders>
          </w:tcPr>
          <w:p>
            <w:pPr>
              <w:jc w:val="center"/>
              <w:ind w:left="4"/>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w:t>
            </w:r>
            <w:r>
              <w:rPr>
                <w:rFonts w:ascii="Arial" w:cs="Arial" w:eastAsia="Arial" w:hAnsi="Arial"/>
                <w:sz w:val="12"/>
                <w:szCs w:val="12"/>
                <w:b w:val="1"/>
                <w:bCs w:val="1"/>
                <w:color w:val="auto"/>
                <w:w w:val="92"/>
              </w:rPr>
              <w:t>(2)</w:t>
            </w:r>
          </w:p>
        </w:tc>
        <w:tc>
          <w:tcPr>
            <w:tcW w:w="1760" w:type="dxa"/>
            <w:vAlign w:val="bottom"/>
            <w:tcBorders>
              <w:bottom w:val="single" w:sz="8" w:color="auto"/>
              <w:right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6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Charter Communications, Inc. Class A Common Stock,</w:t>
            </w:r>
          </w:p>
        </w:tc>
        <w:tc>
          <w:tcPr>
            <w:tcW w:w="156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760" w:type="dxa"/>
            <w:vAlign w:val="bottom"/>
            <w:tcBorders>
              <w:right w:val="single" w:sz="8" w:color="auto"/>
            </w:tcBorders>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$0.001 par value per share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16,000,000</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$406.765</w:t>
            </w:r>
          </w:p>
        </w:tc>
        <w:tc>
          <w:tcPr>
            <w:tcW w:w="1760" w:type="dxa"/>
            <w:vAlign w:val="bottom"/>
            <w:tcBorders>
              <w:bottom w:val="single" w:sz="8" w:color="auto"/>
              <w:right w:val="single" w:sz="8" w:color="auto"/>
            </w:tcBorders>
          </w:tcPr>
          <w:p>
            <w:pPr>
              <w:jc w:val="right"/>
              <w:ind w:right="146"/>
              <w:spacing w:after="0"/>
              <w:rPr>
                <w:sz w:val="20"/>
                <w:szCs w:val="20"/>
                <w:color w:val="auto"/>
              </w:rPr>
            </w:pPr>
            <w:r>
              <w:rPr>
                <w:rFonts w:ascii="Arial" w:cs="Arial" w:eastAsia="Arial" w:hAnsi="Arial"/>
                <w:sz w:val="18"/>
                <w:szCs w:val="18"/>
                <w:color w:val="auto"/>
              </w:rPr>
              <w:t>$6,508,240,000.00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$788,798.69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40" w:right="40" w:hanging="436"/>
        <w:spacing w:after="0" w:line="253"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416(a) under the Securities Act of 1933, as amended (the “Securities Act”), this Registration Statement shall also cover any additional shares of common stock of the Registrant which become issuable under the 2019 Stock Incentive Plan being registered pursuant to this Registration Statement by reason of certain corporate transactions or events, including any stock dividend, stock split, recapitalization or any other similar transaction effected without the receipt of consideration which results in an increase in the number of our outstanding shares of common stock.</w:t>
      </w:r>
    </w:p>
    <w:p>
      <w:pPr>
        <w:spacing w:after="0" w:line="2" w:lineRule="exact"/>
        <w:rPr>
          <w:rFonts w:ascii="Arial" w:cs="Arial" w:eastAsia="Arial" w:hAnsi="Arial"/>
          <w:sz w:val="18"/>
          <w:szCs w:val="18"/>
          <w:color w:val="auto"/>
        </w:rPr>
      </w:pPr>
    </w:p>
    <w:p>
      <w:pPr>
        <w:ind w:left="440" w:right="500" w:hanging="436"/>
        <w:spacing w:after="0" w:line="323" w:lineRule="auto"/>
        <w:tabs>
          <w:tab w:leader="none" w:pos="440" w:val="left"/>
        </w:tabs>
        <w:numPr>
          <w:ilvl w:val="0"/>
          <w:numId w:val="1"/>
        </w:numPr>
        <w:rPr>
          <w:rFonts w:ascii="Arial" w:cs="Arial" w:eastAsia="Arial" w:hAnsi="Arial"/>
          <w:sz w:val="16"/>
          <w:szCs w:val="16"/>
          <w:color w:val="auto"/>
        </w:rPr>
      </w:pPr>
      <w:r>
        <w:rPr>
          <w:rFonts w:ascii="Arial" w:cs="Arial" w:eastAsia="Arial" w:hAnsi="Arial"/>
          <w:sz w:val="16"/>
          <w:szCs w:val="16"/>
          <w:color w:val="auto"/>
        </w:rPr>
        <w:t>Estimated solely for the purpose of calculating the registration fee in accordance with Rule 457(h) under the Securities Act and based on the average of the high and low prices of the Registrant’s common stock on July 23, 2019, as reported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45720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88900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229" w:right="41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 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information specified in Item 1 and Item 2 of Part I of the Registration Statement is omitted from this filing in accordance with the provisions of Rule 428 under the Securities Act and the introductory note to Part I of Form S-8. The documents containing the information specified in Part I will be delivered to holders as required by Rule 428(b)(1).</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by Reference.</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documents, which have been filed with the SEC by Charter Communications, Inc. (the “Registrant”), are incorporated by reference in this registration statement:</w:t>
      </w:r>
    </w:p>
    <w:p>
      <w:pPr>
        <w:spacing w:after="0" w:line="170" w:lineRule="exact"/>
        <w:rPr>
          <w:sz w:val="20"/>
          <w:szCs w:val="20"/>
          <w:color w:val="auto"/>
        </w:rPr>
      </w:pPr>
    </w:p>
    <w:p>
      <w:pPr>
        <w:ind w:left="420" w:hanging="4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w:t>
      </w:r>
      <w:hyperlink r:id="rId1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w:t>
      </w:r>
    </w:p>
    <w:p>
      <w:pPr>
        <w:spacing w:after="0" w:line="225" w:lineRule="exact"/>
        <w:rPr>
          <w:rFonts w:ascii="Arial" w:cs="Arial" w:eastAsia="Arial" w:hAnsi="Arial"/>
          <w:sz w:val="18"/>
          <w:szCs w:val="18"/>
          <w:color w:val="auto"/>
        </w:rPr>
      </w:pPr>
    </w:p>
    <w:p>
      <w:pPr>
        <w:ind w:left="440" w:hanging="436"/>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19">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March 31, 2019;</w:t>
      </w:r>
    </w:p>
    <w:p>
      <w:pPr>
        <w:spacing w:after="0" w:line="225" w:lineRule="exact"/>
        <w:rPr>
          <w:rFonts w:ascii="Arial" w:cs="Arial" w:eastAsia="Arial" w:hAnsi="Arial"/>
          <w:sz w:val="18"/>
          <w:szCs w:val="18"/>
          <w:color w:val="auto"/>
        </w:rPr>
      </w:pPr>
    </w:p>
    <w:p>
      <w:pPr>
        <w:ind w:left="420" w:hanging="416"/>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w:t>
      </w:r>
      <w:hyperlink r:id="rId20">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quarter ended June 30, 2019;</w:t>
      </w:r>
    </w:p>
    <w:p>
      <w:pPr>
        <w:spacing w:after="0" w:line="225" w:lineRule="exact"/>
        <w:rPr>
          <w:rFonts w:ascii="Arial" w:cs="Arial" w:eastAsia="Arial" w:hAnsi="Arial"/>
          <w:sz w:val="18"/>
          <w:szCs w:val="18"/>
          <w:color w:val="auto"/>
        </w:rPr>
      </w:pPr>
    </w:p>
    <w:p>
      <w:pPr>
        <w:ind w:right="340" w:firstLine="4"/>
        <w:spacing w:after="0" w:line="277" w:lineRule="auto"/>
        <w:tabs>
          <w:tab w:leader="none" w:pos="387" w:val="left"/>
        </w:tabs>
        <w:numPr>
          <w:ilvl w:val="0"/>
          <w:numId w:val="2"/>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filed on </w:t>
      </w:r>
      <w:hyperlink r:id="rId21">
        <w:r>
          <w:rPr>
            <w:rFonts w:ascii="Arial" w:cs="Arial" w:eastAsia="Arial" w:hAnsi="Arial"/>
            <w:sz w:val="18"/>
            <w:szCs w:val="18"/>
            <w:u w:val="single" w:color="auto"/>
            <w:color w:val="0000EE"/>
          </w:rPr>
          <w:t>January 17, 2019</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January 24, 2019</w:t>
        </w:r>
      </w:hyperlink>
      <w:r>
        <w:rPr>
          <w:rFonts w:ascii="Arial" w:cs="Arial" w:eastAsia="Arial" w:hAnsi="Arial"/>
          <w:sz w:val="18"/>
          <w:szCs w:val="18"/>
          <w:color w:val="auto"/>
        </w:rPr>
        <w:t xml:space="preserve">, </w:t>
      </w:r>
      <w:hyperlink r:id="rId23">
        <w:r>
          <w:rPr>
            <w:rFonts w:ascii="Arial" w:cs="Arial" w:eastAsia="Arial" w:hAnsi="Arial"/>
            <w:sz w:val="18"/>
            <w:szCs w:val="18"/>
            <w:u w:val="single" w:color="auto"/>
            <w:color w:val="0000EE"/>
          </w:rPr>
          <w:t>January 30, 2019</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April 29, 2019</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May 30, 2019</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July 1, 2019</w:t>
        </w:r>
        <w:r>
          <w:rPr>
            <w:rFonts w:ascii="Arial" w:cs="Arial" w:eastAsia="Arial" w:hAnsi="Arial"/>
            <w:sz w:val="18"/>
            <w:szCs w:val="18"/>
            <w:color w:val="0000EE"/>
          </w:rPr>
          <w:t xml:space="preserve"> </w:t>
        </w:r>
      </w:hyperlink>
      <w:r>
        <w:rPr>
          <w:rFonts w:ascii="Arial" w:cs="Arial" w:eastAsia="Arial" w:hAnsi="Arial"/>
          <w:sz w:val="18"/>
          <w:szCs w:val="18"/>
          <w:color w:val="000000"/>
        </w:rPr>
        <w:t>and</w:t>
      </w:r>
      <w:r>
        <w:rPr>
          <w:rFonts w:ascii="Arial" w:cs="Arial" w:eastAsia="Arial" w:hAnsi="Arial"/>
          <w:sz w:val="18"/>
          <w:szCs w:val="18"/>
          <w:color w:val="0000EE"/>
        </w:rPr>
        <w:t xml:space="preserve"> </w:t>
      </w:r>
      <w:hyperlink r:id="rId27">
        <w:r>
          <w:rPr>
            <w:rFonts w:ascii="Arial" w:cs="Arial" w:eastAsia="Arial" w:hAnsi="Arial"/>
            <w:sz w:val="18"/>
            <w:szCs w:val="18"/>
            <w:u w:val="single" w:color="auto"/>
            <w:color w:val="0000EE"/>
          </w:rPr>
          <w:t xml:space="preserve">July 10, 2019 </w:t>
        </w:r>
      </w:hyperlink>
      <w:r>
        <w:rPr>
          <w:rFonts w:ascii="Arial" w:cs="Arial" w:eastAsia="Arial" w:hAnsi="Arial"/>
          <w:sz w:val="18"/>
          <w:szCs w:val="18"/>
          <w:color w:val="000000"/>
        </w:rPr>
        <w:t>(in</w:t>
      </w:r>
      <w:r>
        <w:rPr>
          <w:rFonts w:ascii="Arial" w:cs="Arial" w:eastAsia="Arial" w:hAnsi="Arial"/>
          <w:sz w:val="18"/>
          <w:szCs w:val="18"/>
          <w:color w:val="0000EE"/>
        </w:rPr>
        <w:t xml:space="preserve"> </w:t>
      </w:r>
      <w:r>
        <w:rPr>
          <w:rFonts w:ascii="Arial" w:cs="Arial" w:eastAsia="Arial" w:hAnsi="Arial"/>
          <w:sz w:val="18"/>
          <w:szCs w:val="18"/>
          <w:color w:val="000000"/>
        </w:rPr>
        <w:t>each case excluding any information furnished but not filed);</w:t>
      </w:r>
    </w:p>
    <w:p>
      <w:pPr>
        <w:spacing w:after="0" w:line="170" w:lineRule="exact"/>
        <w:rPr>
          <w:rFonts w:ascii="Arial" w:cs="Arial" w:eastAsia="Arial" w:hAnsi="Arial"/>
          <w:sz w:val="18"/>
          <w:szCs w:val="18"/>
          <w:color w:val="0000EE"/>
        </w:rPr>
      </w:pPr>
    </w:p>
    <w:p>
      <w:pPr>
        <w:ind w:right="40" w:firstLine="4"/>
        <w:spacing w:after="0" w:line="264" w:lineRule="auto"/>
        <w:tabs>
          <w:tab w:leader="none" w:pos="37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Capital Stock contained in Amendment No. 3 to the Registration Statement on Form S-4 (File No. 333-205240) of CCH I, LLC (now known as Charter Communications, Inc., the Registrant) as declared effective by the Commission on August 20, 2015, including any subsequent amendment or report filed for the purpose of updating such description.</w:t>
      </w:r>
    </w:p>
    <w:p>
      <w:pPr>
        <w:spacing w:after="0" w:line="181" w:lineRule="exact"/>
        <w:rPr>
          <w:rFonts w:ascii="Arial" w:cs="Arial" w:eastAsia="Arial" w:hAnsi="Arial"/>
          <w:sz w:val="18"/>
          <w:szCs w:val="18"/>
          <w:color w:val="auto"/>
        </w:rPr>
      </w:pPr>
    </w:p>
    <w:p>
      <w:pPr>
        <w:spacing w:after="0" w:line="259" w:lineRule="auto"/>
        <w:rPr>
          <w:sz w:val="20"/>
          <w:szCs w:val="20"/>
          <w:color w:val="auto"/>
        </w:rPr>
      </w:pPr>
      <w:r>
        <w:rPr>
          <w:rFonts w:ascii="Arial" w:cs="Arial" w:eastAsia="Arial" w:hAnsi="Arial"/>
          <w:sz w:val="18"/>
          <w:szCs w:val="18"/>
          <w:color w:val="auto"/>
        </w:rPr>
        <w:t>All reports and other documents subsequently filed by the Registrant pursuant to Sections 13(a), 13(c), 14 and 15(d) of the Exchange Act (excluding any information furnished but not filed) after the date of this Registration Statement, but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87" w:lineRule="exact"/>
        <w:rPr>
          <w:rFonts w:ascii="Arial" w:cs="Arial" w:eastAsia="Arial" w:hAnsi="Arial"/>
          <w:sz w:val="18"/>
          <w:szCs w:val="18"/>
          <w:color w:val="auto"/>
        </w:rPr>
      </w:pPr>
    </w:p>
    <w:p>
      <w:pPr>
        <w:spacing w:after="0" w:line="259" w:lineRule="auto"/>
        <w:rPr>
          <w:sz w:val="20"/>
          <w:szCs w:val="20"/>
          <w:color w:val="auto"/>
        </w:rPr>
      </w:pPr>
      <w:r>
        <w:rPr>
          <w:rFonts w:ascii="Arial" w:cs="Arial" w:eastAsia="Arial" w:hAnsi="Arial"/>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331" w:lineRule="exact"/>
        <w:rPr>
          <w:rFonts w:ascii="Arial" w:cs="Arial" w:eastAsia="Arial" w:hAnsi="Arial"/>
          <w:sz w:val="18"/>
          <w:szCs w:val="18"/>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right="140"/>
        <w:spacing w:after="0" w:line="259" w:lineRule="auto"/>
        <w:rPr>
          <w:sz w:val="20"/>
          <w:szCs w:val="20"/>
          <w:color w:val="auto"/>
        </w:rPr>
      </w:pPr>
      <w:r>
        <w:rPr>
          <w:rFonts w:ascii="Arial" w:cs="Arial" w:eastAsia="Arial" w:hAnsi="Arial"/>
          <w:sz w:val="18"/>
          <w:szCs w:val="18"/>
          <w:color w:val="auto"/>
        </w:rPr>
        <w:t>Certain legal matters will be passed upon for us by Richard R. Dykhouse, who serves as our Executive Vice President, General Counsel and Corporate Secretary. Mr. Dykhouse is a salaried employee and earns stock-based compensation on our common stock. Pursuant to various stock and employee benefit plans, Mr. Dykhouse is eligible to purchase and receive shares of our common stock and to receive options to purchase shares of our common stock.</w:t>
      </w:r>
    </w:p>
    <w:p>
      <w:pPr>
        <w:spacing w:after="0" w:line="331" w:lineRule="exact"/>
        <w:rPr>
          <w:rFonts w:ascii="Arial" w:cs="Arial" w:eastAsia="Arial" w:hAnsi="Arial"/>
          <w:sz w:val="18"/>
          <w:szCs w:val="18"/>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rFonts w:ascii="Arial" w:cs="Arial" w:eastAsia="Arial" w:hAnsi="Arial"/>
          <w:sz w:val="18"/>
          <w:szCs w:val="18"/>
          <w:color w:val="auto"/>
        </w:rPr>
      </w:pPr>
    </w:p>
    <w:p>
      <w:pPr>
        <w:spacing w:after="0" w:line="273" w:lineRule="auto"/>
        <w:rPr>
          <w:sz w:val="20"/>
          <w:szCs w:val="20"/>
          <w:color w:val="auto"/>
        </w:rPr>
      </w:pPr>
      <w:r>
        <w:rPr>
          <w:rFonts w:ascii="Arial" w:cs="Arial" w:eastAsia="Arial" w:hAnsi="Arial"/>
          <w:sz w:val="17"/>
          <w:szCs w:val="17"/>
          <w:color w:val="auto"/>
        </w:rPr>
        <w:t>The Registrant is incorporated under the laws of the State of Delaware. Section 145 of the Delaware General Corporation Law, as amended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of or agent to the Registrant. The statute provides that it is not exclusive of other rights to which those seeking indemnification may be entitled under any bylaw, agreement, vote of stockholders or disinterested directors or otherwise.</w:t>
      </w:r>
    </w:p>
    <w:p>
      <w:pPr>
        <w:spacing w:after="0" w:line="111"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 w:name="page3"/>
    <w:bookmarkEnd w:id="2"/>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SEVENTH of the Registrant’s amended and restated certificate of incorporation provides that a director of the Registrant shall not be liable to the Registrant or its stockholders for monetary damages for breach of fiduciary duty as a director, except to the extent that such exemption from liability or limitation thereof is not permitted under the DGCL.</w:t>
      </w:r>
    </w:p>
    <w:p>
      <w:pPr>
        <w:spacing w:after="0" w:line="18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Article X of the Registrant’s bylaws provides that to the fullest extent authorized by the DGCL, the Registrant shall indemnify any person made or threatened to be made a party to any action, suit or proceeding, whether civil, criminal, administrative or investigative, by reason of the fact that such person is or was a director or officer of the registrant or serves or served at the request of the registrant as a director, officer, employee or agent of another corporation or of a partnership, joint venture, trust or other enterprise, including service with respect to an employee benefit plan. Expenses, including attorneys’ fees, incurred by any such person in defending any such action, suit or proceeding shall be paid or reimbursed by the Registrant in advance of any final disposition; provided that to the extent required by the DGCL, such advancement of expenses will only be made upon delivery to the Registrant of a commitment from such person to repay such expenses if it shall ultimately be determined that such person is not entitled to be indemnified by the Registrant. The bylaws do not limit the power of the Registrant or its board of directors to provide other indemnification and expense reimbursement rights to directors, officers, employees, agents and other persons as otherwise pursuant to the bylaws.</w:t>
      </w:r>
    </w:p>
    <w:p>
      <w:pPr>
        <w:spacing w:after="0" w:line="16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Section 145(g) of the DGCL provides that a corporation shall have the power to purchase and maintain insurance on behalf of any person who is or was a director or officer of the corporation against any liability asserted against the person in any such capacity, or arising out of the person’s status as such, whether or not the corporation would have the power to indemnify the person against such liability under the provisions of the DGCL. The Registrant [maintains and] plans to maintain insurance policies under which its directors and officers are insured, within the limits and subject to the limitations of the policies, against expenses in connection with the defense of actions, suits or proceedings, and certain liabilities that might be imposed as a result of such actions, suits or proceedings, to which they are parties by reason of being or having been directors or officers of the Registrant.</w:t>
      </w:r>
    </w:p>
    <w:p>
      <w:pPr>
        <w:spacing w:after="0" w:line="16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foregoing is only a general summary of certain aspects of Delaware law and the Registrant’s organizational documents dealing with indemnification of directors and officers and does not purport to be complete. It is qualified in its entirety by reference to the applicable provisions of the DGCL and of the Registrant’s amended and restated certificate of incorporation and the Registrant’s bylaws.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Registrant has indemnification agreements with its directors and certain of its officers. The indemnification agreements provide indemnification to the Registrant’s directors and such officers under certain circumstances for acts or omissions which may not be covered by directors’ and officers’ liability insurance, and may, in some cases, be broader than the specific indemnification provisions contained under Delaware law.</w:t>
      </w: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below is incorporated by reference herein.</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740" w:hanging="29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225" w:lineRule="exact"/>
        <w:rPr>
          <w:rFonts w:ascii="Arial" w:cs="Arial" w:eastAsia="Arial" w:hAnsi="Arial"/>
          <w:sz w:val="18"/>
          <w:szCs w:val="18"/>
          <w:color w:val="auto"/>
        </w:rPr>
      </w:pPr>
    </w:p>
    <w:p>
      <w:pPr>
        <w:ind w:left="1300" w:hanging="304"/>
        <w:spacing w:after="0"/>
        <w:tabs>
          <w:tab w:leader="none" w:pos="130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the Registration Statement:</w:t>
      </w:r>
    </w:p>
    <w:p>
      <w:pPr>
        <w:spacing w:after="0" w:line="128" w:lineRule="exact"/>
        <w:rPr>
          <w:rFonts w:ascii="Arial" w:cs="Arial" w:eastAsia="Arial" w:hAnsi="Arial"/>
          <w:sz w:val="17"/>
          <w:szCs w:val="17"/>
          <w:color w:val="auto"/>
        </w:rPr>
      </w:pPr>
    </w:p>
    <w:p>
      <w:pPr>
        <w:ind w:left="1700" w:hanging="264"/>
        <w:spacing w:after="0"/>
        <w:tabs>
          <w:tab w:leader="none" w:pos="170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 w:name="page4"/>
    <w:bookmarkEnd w:id="3"/>
    <w:p>
      <w:pPr>
        <w:ind w:right="20" w:firstLine="1436"/>
        <w:spacing w:after="0" w:line="293" w:lineRule="auto"/>
        <w:tabs>
          <w:tab w:leader="none" w:pos="1739"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reflect in the prospectus any facts or events arising after the effective date of the Registration Statement (or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right="660" w:firstLine="1436"/>
        <w:spacing w:after="0" w:line="277" w:lineRule="auto"/>
        <w:tabs>
          <w:tab w:leader="none" w:pos="1789"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provided, however,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181" w:lineRule="exact"/>
        <w:rPr>
          <w:sz w:val="20"/>
          <w:szCs w:val="20"/>
          <w:color w:val="auto"/>
        </w:rPr>
      </w:pPr>
    </w:p>
    <w:p>
      <w:pPr>
        <w:ind w:firstLine="996"/>
        <w:spacing w:after="0" w:line="264" w:lineRule="auto"/>
        <w:tabs>
          <w:tab w:leader="none" w:pos="1288" w:val="left"/>
        </w:tabs>
        <w:numPr>
          <w:ilvl w:val="1"/>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81" w:lineRule="exact"/>
        <w:rPr>
          <w:rFonts w:ascii="Arial" w:cs="Arial" w:eastAsia="Arial" w:hAnsi="Arial"/>
          <w:sz w:val="18"/>
          <w:szCs w:val="18"/>
          <w:color w:val="auto"/>
        </w:rPr>
      </w:pPr>
    </w:p>
    <w:p>
      <w:pPr>
        <w:ind w:right="40" w:firstLine="996"/>
        <w:spacing w:after="0" w:line="277" w:lineRule="auto"/>
        <w:tabs>
          <w:tab w:leader="none" w:pos="1288"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20" w:firstLine="444"/>
        <w:spacing w:after="0" w:line="257" w:lineRule="auto"/>
        <w:tabs>
          <w:tab w:leader="none" w:pos="73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right="60" w:firstLine="444"/>
        <w:spacing w:after="0" w:line="271" w:lineRule="auto"/>
        <w:tabs>
          <w:tab w:leader="none" w:pos="73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5700" w:type="dxa"/>
            <w:vAlign w:val="bottom"/>
            <w:gridSpan w:val="3"/>
          </w:tcPr>
          <w:p>
            <w:pPr>
              <w:ind w:left="4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5700" w:type="dxa"/>
            <w:vAlign w:val="bottom"/>
            <w:gridSpan w:val="3"/>
            <w:vMerge w:val="restart"/>
          </w:tcPr>
          <w:p>
            <w:pPr>
              <w:ind w:left="46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57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820" w:hanging="733"/>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31">
        <w:r>
          <w:rPr>
            <w:rFonts w:ascii="Arial" w:cs="Arial" w:eastAsia="Arial" w:hAnsi="Arial"/>
            <w:sz w:val="18"/>
            <w:szCs w:val="18"/>
            <w:u w:val="single" w:color="auto"/>
            <w:color w:val="0000EE"/>
          </w:rPr>
          <w:t>Amended and Restated Certificate of Incorporation of Charter Communications, Inc. (incorporated by reference to Exhibit 3.1 to the Current</w:t>
        </w:r>
      </w:hyperlink>
      <w:r>
        <w:rPr>
          <w:rFonts w:ascii="Arial" w:cs="Arial" w:eastAsia="Arial" w:hAnsi="Arial"/>
          <w:sz w:val="18"/>
          <w:szCs w:val="18"/>
          <w:u w:val="single" w:color="auto"/>
          <w:color w:val="0000EE"/>
        </w:rPr>
        <w:t xml:space="preserve"> </w:t>
      </w:r>
      <w:hyperlink r:id="rId31">
        <w:r>
          <w:rPr>
            <w:rFonts w:ascii="Arial" w:cs="Arial" w:eastAsia="Arial" w:hAnsi="Arial"/>
            <w:sz w:val="18"/>
            <w:szCs w:val="18"/>
            <w:u w:val="single" w:color="auto"/>
            <w:color w:val="0000EE"/>
          </w:rPr>
          <w:t>Report on Form 8-K of Charter Communications, Inc., filed with the Commission on May 19, 2016).</w:t>
        </w:r>
      </w:hyperlink>
    </w:p>
    <w:p>
      <w:pPr>
        <w:spacing w:after="0" w:line="62" w:lineRule="exact"/>
        <w:rPr>
          <w:sz w:val="20"/>
          <w:szCs w:val="20"/>
          <w:color w:val="auto"/>
        </w:rPr>
      </w:pPr>
    </w:p>
    <w:p>
      <w:pPr>
        <w:ind w:left="820" w:right="240" w:hanging="733"/>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3.2</w:t>
      </w:r>
      <w:r>
        <w:rPr>
          <w:sz w:val="20"/>
          <w:szCs w:val="20"/>
          <w:color w:val="auto"/>
        </w:rPr>
        <w:tab/>
      </w:r>
      <w:hyperlink r:id="rId32">
        <w:r>
          <w:rPr>
            <w:rFonts w:ascii="Arial" w:cs="Arial" w:eastAsia="Arial" w:hAnsi="Arial"/>
            <w:sz w:val="18"/>
            <w:szCs w:val="18"/>
            <w:u w:val="single" w:color="auto"/>
            <w:color w:val="0000EE"/>
          </w:rPr>
          <w:t>Bylaws of Charter Communications, Inc., effective as of May 18, 2016 (incorporated by reference to Exhibit 3.2 to the Current Report on</w:t>
        </w:r>
      </w:hyperlink>
      <w:r>
        <w:rPr>
          <w:rFonts w:ascii="Arial" w:cs="Arial" w:eastAsia="Arial" w:hAnsi="Arial"/>
          <w:sz w:val="18"/>
          <w:szCs w:val="18"/>
          <w:u w:val="single" w:color="auto"/>
          <w:color w:val="0000EE"/>
        </w:rPr>
        <w:t xml:space="preserve"> </w:t>
      </w:r>
      <w:hyperlink r:id="rId32">
        <w:r>
          <w:rPr>
            <w:rFonts w:ascii="Arial" w:cs="Arial" w:eastAsia="Arial" w:hAnsi="Arial"/>
            <w:sz w:val="18"/>
            <w:szCs w:val="18"/>
            <w:u w:val="single" w:color="auto"/>
            <w:color w:val="0000EE"/>
          </w:rPr>
          <w:t>Form 8-K of Charter Communications, Inc., filed with the Commission on May 19, 2016).</w:t>
        </w:r>
      </w:hyperlink>
    </w:p>
    <w:p>
      <w:pPr>
        <w:spacing w:after="0" w:line="62" w:lineRule="exact"/>
        <w:rPr>
          <w:sz w:val="20"/>
          <w:szCs w:val="20"/>
          <w:color w:val="auto"/>
        </w:rPr>
      </w:pPr>
    </w:p>
    <w:p>
      <w:pPr>
        <w:ind w:left="820" w:right="240" w:hanging="733"/>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3.3</w:t>
      </w:r>
      <w:r>
        <w:rPr>
          <w:sz w:val="20"/>
          <w:szCs w:val="20"/>
          <w:color w:val="auto"/>
        </w:rPr>
        <w:tab/>
      </w:r>
      <w:hyperlink r:id="rId33">
        <w:r>
          <w:rPr>
            <w:rFonts w:ascii="Arial" w:cs="Arial" w:eastAsia="Arial" w:hAnsi="Arial"/>
            <w:sz w:val="18"/>
            <w:szCs w:val="18"/>
            <w:u w:val="single" w:color="auto"/>
            <w:color w:val="0000EE"/>
          </w:rPr>
          <w:t>First Amendment to Bylaws of Charter Communications, Inc. dated July 24, 2018 (incorporated by reference to Exhibit 3.1 to the current</w:t>
        </w:r>
      </w:hyperlink>
      <w:r>
        <w:rPr>
          <w:rFonts w:ascii="Arial" w:cs="Arial" w:eastAsia="Arial" w:hAnsi="Arial"/>
          <w:sz w:val="18"/>
          <w:szCs w:val="18"/>
          <w:u w:val="single" w:color="auto"/>
          <w:color w:val="0000EE"/>
        </w:rPr>
        <w:t xml:space="preserve"> </w:t>
      </w:r>
      <w:hyperlink r:id="rId33">
        <w:r>
          <w:rPr>
            <w:rFonts w:ascii="Arial" w:cs="Arial" w:eastAsia="Arial" w:hAnsi="Arial"/>
            <w:sz w:val="18"/>
            <w:szCs w:val="18"/>
            <w:u w:val="single" w:color="auto"/>
            <w:color w:val="0000EE"/>
          </w:rPr>
          <w:t>report on Form 8-K of Charter Communications, Inc. filed on July 30, 2018 (File No. 001-33664)).</w:t>
        </w:r>
      </w:hyperlink>
    </w:p>
    <w:p>
      <w:pPr>
        <w:spacing w:after="0" w:line="62" w:lineRule="exact"/>
        <w:rPr>
          <w:sz w:val="20"/>
          <w:szCs w:val="20"/>
          <w:color w:val="auto"/>
        </w:rPr>
      </w:pPr>
    </w:p>
    <w:p>
      <w:pPr>
        <w:ind w:left="100"/>
        <w:spacing w:after="0"/>
        <w:tabs>
          <w:tab w:leader="none" w:pos="8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EE"/>
        </w:rPr>
        <w:t>Opinion of Richard R. Dykhouse, Esq. with respect to the legality of the shares of common stock being registered hereby.</w:t>
      </w:r>
    </w:p>
    <w:p>
      <w:pPr>
        <w:spacing w:after="0" w:line="117" w:lineRule="exact"/>
        <w:rPr>
          <w:sz w:val="20"/>
          <w:szCs w:val="20"/>
          <w:color w:val="auto"/>
        </w:rPr>
      </w:pPr>
    </w:p>
    <w:p>
      <w:pPr>
        <w:ind w:left="820" w:right="580" w:hanging="823"/>
        <w:spacing w:after="0" w:line="277" w:lineRule="auto"/>
        <w:tabs>
          <w:tab w:leader="none" w:pos="8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34">
        <w:r>
          <w:rPr>
            <w:rFonts w:ascii="Arial" w:cs="Arial" w:eastAsia="Arial" w:hAnsi="Arial"/>
            <w:sz w:val="18"/>
            <w:szCs w:val="18"/>
            <w:u w:val="single" w:color="auto"/>
            <w:color w:val="0000EE"/>
          </w:rPr>
          <w:t>Charter Communications, Inc. 2019 Stock Incentive Plan (incorporated by reference to Annex A to the Definitive Proxy Statement of</w:t>
        </w:r>
      </w:hyperlink>
      <w:r>
        <w:rPr>
          <w:rFonts w:ascii="Arial" w:cs="Arial" w:eastAsia="Arial" w:hAnsi="Arial"/>
          <w:sz w:val="18"/>
          <w:szCs w:val="18"/>
          <w:u w:val="single" w:color="auto"/>
          <w:color w:val="0000EE"/>
        </w:rPr>
        <w:t xml:space="preserve"> </w:t>
      </w:r>
      <w:hyperlink r:id="rId34">
        <w:r>
          <w:rPr>
            <w:rFonts w:ascii="Arial" w:cs="Arial" w:eastAsia="Arial" w:hAnsi="Arial"/>
            <w:sz w:val="18"/>
            <w:szCs w:val="18"/>
            <w:u w:val="single" w:color="auto"/>
            <w:color w:val="0000EE"/>
          </w:rPr>
          <w:t>Charter Communications, Inc., filed with the Commission on March 14, 2019).</w:t>
        </w:r>
      </w:hyperlink>
    </w:p>
    <w:p>
      <w:pPr>
        <w:spacing w:after="0" w:line="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EE"/>
        </w:rPr>
        <w:t>Consent of KPMG LLP</w:t>
      </w:r>
    </w:p>
    <w:p>
      <w:pPr>
        <w:spacing w:after="0" w:line="1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u w:val="single" w:color="auto"/>
          <w:color w:val="0000EE"/>
        </w:rPr>
        <w:t>Consent of Richard R. Dykhouse, Esq. (included in Exhibit 5.1).</w:t>
      </w:r>
    </w:p>
    <w:p>
      <w:pPr>
        <w:spacing w:after="0" w:line="117" w:lineRule="exact"/>
        <w:rPr>
          <w:sz w:val="20"/>
          <w:szCs w:val="20"/>
          <w:color w:val="auto"/>
        </w:rPr>
      </w:pPr>
    </w:p>
    <w:p>
      <w:pPr>
        <w:spacing w:after="0"/>
        <w:tabs>
          <w:tab w:leader="none" w:pos="800" w:val="left"/>
        </w:tabs>
        <w:rPr>
          <w:rFonts w:ascii="Arial" w:cs="Arial" w:eastAsia="Arial" w:hAnsi="Arial"/>
          <w:sz w:val="16"/>
          <w:szCs w:val="16"/>
          <w:u w:val="single" w:color="auto"/>
          <w:color w:val="0000EE"/>
        </w:rPr>
      </w:pPr>
      <w:r>
        <w:rPr>
          <w:rFonts w:ascii="Arial" w:cs="Arial" w:eastAsia="Arial" w:hAnsi="Arial"/>
          <w:sz w:val="18"/>
          <w:szCs w:val="18"/>
          <w:color w:val="auto"/>
        </w:rPr>
        <w:t>24.1*</w:t>
      </w:r>
      <w:r>
        <w:rPr>
          <w:sz w:val="20"/>
          <w:szCs w:val="20"/>
          <w:color w:val="auto"/>
        </w:rPr>
        <w:tab/>
      </w:r>
      <w:hyperlink w:anchor="page6">
        <w:r>
          <w:rPr>
            <w:rFonts w:ascii="Arial" w:cs="Arial" w:eastAsia="Arial" w:hAnsi="Arial"/>
            <w:sz w:val="16"/>
            <w:szCs w:val="16"/>
            <w:u w:val="single" w:color="auto"/>
            <w:color w:val="0000EE"/>
          </w:rPr>
          <w:t>Power of Attorney of certain officers and directors of the Registrant to file future amendments (set forth on the signature pages hereto</w:t>
        </w:r>
      </w:hyperlink>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100330</wp:posOffset>
            </wp:positionV>
            <wp:extent cx="763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6327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County of St. Louis, State of Missouri, on July 26, 2019.</w:t>
      </w:r>
    </w:p>
    <w:p>
      <w:pPr>
        <w:spacing w:after="0" w:line="330"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Charter Communications, Inc.</w:t>
      </w:r>
    </w:p>
    <w:p>
      <w:pPr>
        <w:spacing w:after="0" w:line="333"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D. Howard</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40" w:type="dxa"/>
            <w:vAlign w:val="bottom"/>
          </w:tcPr>
          <w:p>
            <w:pPr>
              <w:spacing w:after="0" w:line="201" w:lineRule="exact"/>
              <w:rPr>
                <w:sz w:val="20"/>
                <w:szCs w:val="20"/>
                <w:color w:val="auto"/>
              </w:rPr>
            </w:pPr>
            <w:r>
              <w:rPr>
                <w:rFonts w:ascii="Arial" w:cs="Arial" w:eastAsia="Arial" w:hAnsi="Arial"/>
                <w:sz w:val="18"/>
                <w:szCs w:val="18"/>
                <w:color w:val="auto"/>
              </w:rPr>
              <w:t>Kevin D. Howard</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Chief Accounting Officer and Controller</w:t>
            </w: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Richard R. Dykhouse, Christopher L. Winfrey and Kevin D. Howard and each of them his or her true and lawful attorney-in-fact and agent, with full power of substitution and resubstitution, for him or her and in his or her name, place and stead, in any and all capacities (including his or her capacity as a director and/or officer) to sign any or all amendments (including post-effective amendments) to this Registration Statement and any subsequent registration statement, and to file the same, with all exhibits thereto, and other documents in connection therewith, with the Commission, granting unto said attorney-in-fact and agent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substitute or substitutes, may lawfully do or cause to be done by virtue hereof.</w:t>
      </w:r>
    </w:p>
    <w:p>
      <w:pPr>
        <w:spacing w:after="0" w:line="1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indicated on July 26, 2019.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800" w:type="dxa"/>
            <w:vAlign w:val="bottom"/>
          </w:tcPr>
          <w:p>
            <w:pPr>
              <w:spacing w:after="0"/>
              <w:rPr>
                <w:sz w:val="14"/>
                <w:szCs w:val="14"/>
                <w:color w:val="auto"/>
              </w:rPr>
            </w:pPr>
          </w:p>
        </w:tc>
        <w:tc>
          <w:tcPr>
            <w:tcW w:w="600" w:type="dxa"/>
            <w:vAlign w:val="bottom"/>
          </w:tcPr>
          <w:p>
            <w:pPr>
              <w:spacing w:after="0"/>
              <w:rPr>
                <w:sz w:val="20"/>
                <w:szCs w:val="20"/>
                <w:color w:val="auto"/>
              </w:rPr>
            </w:pPr>
            <w:r>
              <w:rPr>
                <w:rFonts w:ascii="Arial" w:cs="Arial" w:eastAsia="Arial" w:hAnsi="Arial"/>
                <w:sz w:val="14"/>
                <w:szCs w:val="14"/>
                <w:b w:val="1"/>
                <w:bCs w:val="1"/>
                <w:color w:val="auto"/>
                <w:w w:val="89"/>
              </w:rPr>
              <w:t>Signature</w:t>
            </w:r>
          </w:p>
        </w:tc>
        <w:tc>
          <w:tcPr>
            <w:tcW w:w="18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Title</w:t>
            </w:r>
          </w:p>
        </w:tc>
      </w:tr>
      <w:tr>
        <w:trPr>
          <w:trHeight w:val="20"/>
        </w:trPr>
        <w:tc>
          <w:tcPr>
            <w:tcW w:w="1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26"/>
        </w:trPr>
        <w:tc>
          <w:tcPr>
            <w:tcW w:w="1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Thomas M. Rutledge</w:t>
            </w: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3520" w:type="dxa"/>
            <w:vAlign w:val="bottom"/>
            <w:gridSpan w:val="3"/>
          </w:tcPr>
          <w:p>
            <w:pPr>
              <w:ind w:left="300"/>
              <w:spacing w:after="0"/>
              <w:rPr>
                <w:sz w:val="20"/>
                <w:szCs w:val="20"/>
                <w:color w:val="auto"/>
              </w:rPr>
            </w:pPr>
            <w:r>
              <w:rPr>
                <w:rFonts w:ascii="Arial" w:cs="Arial" w:eastAsia="Arial" w:hAnsi="Arial"/>
                <w:sz w:val="18"/>
                <w:szCs w:val="18"/>
                <w:color w:val="auto"/>
                <w:w w:val="92"/>
              </w:rPr>
              <w:t>Chairman, Chief Executive Officer, 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Thomas M. Rutledge</w:t>
            </w:r>
          </w:p>
        </w:tc>
        <w:tc>
          <w:tcPr>
            <w:tcW w:w="1800" w:type="dxa"/>
            <w:vAlign w:val="bottom"/>
          </w:tcPr>
          <w:p>
            <w:pPr>
              <w:spacing w:after="0"/>
              <w:rPr>
                <w:sz w:val="19"/>
                <w:szCs w:val="19"/>
                <w:color w:val="auto"/>
              </w:rPr>
            </w:pPr>
          </w:p>
        </w:tc>
        <w:tc>
          <w:tcPr>
            <w:tcW w:w="3520" w:type="dxa"/>
            <w:vAlign w:val="bottom"/>
            <w:gridSpan w:val="3"/>
          </w:tcPr>
          <w:p>
            <w:pPr>
              <w:ind w:left="300"/>
              <w:spacing w:after="0"/>
              <w:rPr>
                <w:sz w:val="20"/>
                <w:szCs w:val="20"/>
                <w:color w:val="auto"/>
              </w:rPr>
            </w:pPr>
            <w:r>
              <w:rPr>
                <w:rFonts w:ascii="Arial" w:cs="Arial" w:eastAsia="Arial" w:hAnsi="Arial"/>
                <w:sz w:val="18"/>
                <w:szCs w:val="18"/>
                <w:color w:val="auto"/>
              </w:rPr>
              <w:t>(Principal Executive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L. Winfrey</w:t>
            </w:r>
          </w:p>
        </w:tc>
        <w:tc>
          <w:tcPr>
            <w:tcW w:w="1800" w:type="dxa"/>
            <w:vAlign w:val="bottom"/>
            <w:tcBorders>
              <w:bottom w:val="single" w:sz="8" w:color="auto"/>
            </w:tcBorders>
          </w:tcPr>
          <w:p>
            <w:pPr>
              <w:spacing w:after="0"/>
              <w:rPr>
                <w:sz w:val="24"/>
                <w:szCs w:val="24"/>
                <w:color w:val="auto"/>
              </w:rPr>
            </w:pPr>
          </w:p>
        </w:tc>
        <w:tc>
          <w:tcPr>
            <w:tcW w:w="3520" w:type="dxa"/>
            <w:vAlign w:val="bottom"/>
            <w:gridSpan w:val="3"/>
          </w:tcPr>
          <w:p>
            <w:pPr>
              <w:ind w:left="300"/>
              <w:spacing w:after="0"/>
              <w:rPr>
                <w:sz w:val="20"/>
                <w:szCs w:val="20"/>
                <w:color w:val="auto"/>
              </w:rPr>
            </w:pPr>
            <w:r>
              <w:rPr>
                <w:rFonts w:ascii="Arial" w:cs="Arial" w:eastAsia="Arial" w:hAnsi="Arial"/>
                <w:sz w:val="18"/>
                <w:szCs w:val="18"/>
                <w:color w:val="auto"/>
              </w:rPr>
              <w:t>Chief Financial Officer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Christopher L. Winfrey</w:t>
            </w:r>
          </w:p>
        </w:tc>
        <w:tc>
          <w:tcPr>
            <w:tcW w:w="1800" w:type="dxa"/>
            <w:vAlign w:val="bottom"/>
          </w:tcPr>
          <w:p>
            <w:pPr>
              <w:spacing w:after="0"/>
              <w:rPr>
                <w:sz w:val="19"/>
                <w:szCs w:val="19"/>
                <w:color w:val="auto"/>
              </w:rPr>
            </w:pPr>
          </w:p>
        </w:tc>
        <w:tc>
          <w:tcPr>
            <w:tcW w:w="3520" w:type="dxa"/>
            <w:vAlign w:val="bottom"/>
            <w:gridSpan w:val="3"/>
          </w:tcPr>
          <w:p>
            <w:pPr>
              <w:ind w:left="300"/>
              <w:spacing w:after="0"/>
              <w:rPr>
                <w:sz w:val="20"/>
                <w:szCs w:val="20"/>
                <w:color w:val="auto"/>
              </w:rPr>
            </w:pPr>
            <w:r>
              <w:rPr>
                <w:rFonts w:ascii="Arial" w:cs="Arial" w:eastAsia="Arial" w:hAnsi="Arial"/>
                <w:sz w:val="18"/>
                <w:szCs w:val="18"/>
                <w:color w:val="auto"/>
              </w:rPr>
              <w:t>(Principal Financial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Kevin D. Howard</w:t>
            </w:r>
          </w:p>
        </w:tc>
        <w:tc>
          <w:tcPr>
            <w:tcW w:w="1800" w:type="dxa"/>
            <w:vAlign w:val="bottom"/>
            <w:tcBorders>
              <w:bottom w:val="single" w:sz="8" w:color="auto"/>
            </w:tcBorders>
          </w:tcPr>
          <w:p>
            <w:pPr>
              <w:spacing w:after="0"/>
              <w:rPr>
                <w:sz w:val="24"/>
                <w:szCs w:val="24"/>
                <w:color w:val="auto"/>
              </w:rPr>
            </w:pPr>
          </w:p>
        </w:tc>
        <w:tc>
          <w:tcPr>
            <w:tcW w:w="3520" w:type="dxa"/>
            <w:vAlign w:val="bottom"/>
            <w:gridSpan w:val="3"/>
          </w:tcPr>
          <w:p>
            <w:pPr>
              <w:ind w:left="300"/>
              <w:spacing w:after="0"/>
              <w:rPr>
                <w:sz w:val="20"/>
                <w:szCs w:val="20"/>
                <w:color w:val="auto"/>
              </w:rPr>
            </w:pPr>
            <w:r>
              <w:rPr>
                <w:rFonts w:ascii="Arial" w:cs="Arial" w:eastAsia="Arial" w:hAnsi="Arial"/>
                <w:sz w:val="18"/>
                <w:szCs w:val="18"/>
                <w:color w:val="auto"/>
              </w:rPr>
              <w:t>Chief Accounting Officer and Controller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Kevin D. Howard</w:t>
            </w:r>
          </w:p>
        </w:tc>
        <w:tc>
          <w:tcPr>
            <w:tcW w:w="1800" w:type="dxa"/>
            <w:vAlign w:val="bottom"/>
          </w:tcPr>
          <w:p>
            <w:pPr>
              <w:spacing w:after="0"/>
              <w:rPr>
                <w:sz w:val="19"/>
                <w:szCs w:val="19"/>
                <w:color w:val="auto"/>
              </w:rPr>
            </w:pPr>
          </w:p>
        </w:tc>
        <w:tc>
          <w:tcPr>
            <w:tcW w:w="3520" w:type="dxa"/>
            <w:vAlign w:val="bottom"/>
            <w:gridSpan w:val="3"/>
          </w:tcPr>
          <w:p>
            <w:pPr>
              <w:ind w:left="300"/>
              <w:spacing w:after="0"/>
              <w:rPr>
                <w:sz w:val="20"/>
                <w:szCs w:val="20"/>
                <w:color w:val="auto"/>
              </w:rPr>
            </w:pPr>
            <w:r>
              <w:rPr>
                <w:rFonts w:ascii="Arial" w:cs="Arial" w:eastAsia="Arial" w:hAnsi="Arial"/>
                <w:sz w:val="18"/>
                <w:szCs w:val="18"/>
                <w:color w:val="auto"/>
              </w:rPr>
              <w:t>(Controller/Principal Accounting Officer)</w:t>
            </w: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Eric L. Zinterhofer</w:t>
            </w:r>
          </w:p>
        </w:tc>
        <w:tc>
          <w:tcPr>
            <w:tcW w:w="1800" w:type="dxa"/>
            <w:vAlign w:val="bottom"/>
            <w:tcBorders>
              <w:bottom w:val="single" w:sz="8" w:color="auto"/>
            </w:tcBorders>
          </w:tcPr>
          <w:p>
            <w:pPr>
              <w:spacing w:after="0"/>
              <w:rPr>
                <w:sz w:val="24"/>
                <w:szCs w:val="24"/>
                <w:color w:val="auto"/>
              </w:rPr>
            </w:pPr>
          </w:p>
        </w:tc>
        <w:tc>
          <w:tcPr>
            <w:tcW w:w="352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Eric L. Zinterhofer</w:t>
            </w:r>
          </w:p>
        </w:tc>
        <w:tc>
          <w:tcPr>
            <w:tcW w:w="18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 Lance Conn</w:t>
            </w:r>
          </w:p>
        </w:tc>
        <w:tc>
          <w:tcPr>
            <w:tcW w:w="1800" w:type="dxa"/>
            <w:vAlign w:val="bottom"/>
            <w:tcBorders>
              <w:bottom w:val="single" w:sz="8" w:color="auto"/>
            </w:tcBorders>
          </w:tcPr>
          <w:p>
            <w:pPr>
              <w:spacing w:after="0"/>
              <w:rPr>
                <w:sz w:val="24"/>
                <w:szCs w:val="24"/>
                <w:color w:val="auto"/>
              </w:rPr>
            </w:pPr>
          </w:p>
        </w:tc>
        <w:tc>
          <w:tcPr>
            <w:tcW w:w="352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W. Lance Conn</w:t>
            </w:r>
          </w:p>
        </w:tc>
        <w:tc>
          <w:tcPr>
            <w:tcW w:w="18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431"/>
        </w:trPr>
        <w:tc>
          <w:tcPr>
            <w:tcW w:w="2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Kim C. Goodman</w:t>
            </w:r>
          </w:p>
        </w:tc>
        <w:tc>
          <w:tcPr>
            <w:tcW w:w="1800" w:type="dxa"/>
            <w:vAlign w:val="bottom"/>
            <w:tcBorders>
              <w:bottom w:val="single" w:sz="8" w:color="auto"/>
            </w:tcBorders>
          </w:tcPr>
          <w:p>
            <w:pPr>
              <w:spacing w:after="0"/>
              <w:rPr>
                <w:sz w:val="24"/>
                <w:szCs w:val="24"/>
                <w:color w:val="auto"/>
              </w:rPr>
            </w:pPr>
          </w:p>
        </w:tc>
        <w:tc>
          <w:tcPr>
            <w:tcW w:w="3520" w:type="dxa"/>
            <w:vAlign w:val="bottom"/>
            <w:gridSpan w:val="3"/>
          </w:tcPr>
          <w:p>
            <w:pPr>
              <w:ind w:left="300"/>
              <w:spacing w:after="0"/>
              <w:rPr>
                <w:sz w:val="20"/>
                <w:szCs w:val="20"/>
                <w:color w:val="auto"/>
              </w:rPr>
            </w:pPr>
            <w:r>
              <w:rPr>
                <w:rFonts w:ascii="Arial" w:cs="Arial" w:eastAsia="Arial" w:hAnsi="Arial"/>
                <w:sz w:val="18"/>
                <w:szCs w:val="18"/>
                <w:color w:val="auto"/>
              </w:rPr>
              <w:t>Director</w:t>
            </w:r>
          </w:p>
        </w:tc>
      </w:tr>
      <w:tr>
        <w:trPr>
          <w:trHeight w:val="224"/>
        </w:trPr>
        <w:tc>
          <w:tcPr>
            <w:tcW w:w="2400" w:type="dxa"/>
            <w:vAlign w:val="bottom"/>
            <w:gridSpan w:val="2"/>
          </w:tcPr>
          <w:p>
            <w:pPr>
              <w:spacing w:after="0"/>
              <w:rPr>
                <w:sz w:val="20"/>
                <w:szCs w:val="20"/>
                <w:color w:val="auto"/>
              </w:rPr>
            </w:pPr>
            <w:r>
              <w:rPr>
                <w:rFonts w:ascii="Arial" w:cs="Arial" w:eastAsia="Arial" w:hAnsi="Arial"/>
                <w:sz w:val="18"/>
                <w:szCs w:val="18"/>
                <w:color w:val="auto"/>
              </w:rPr>
              <w:t>Kim C. Goodman</w:t>
            </w:r>
          </w:p>
        </w:tc>
        <w:tc>
          <w:tcPr>
            <w:tcW w:w="18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364"/>
        </w:trPr>
        <w:tc>
          <w:tcPr>
            <w:tcW w:w="1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0" w:type="dxa"/>
            <w:vAlign w:val="bottom"/>
            <w:gridSpan w:val="2"/>
          </w:tcPr>
          <w:p>
            <w:pPr>
              <w:jc w:val="right"/>
              <w:ind w:right="55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A. Jacobson</w:t>
            </w:r>
          </w:p>
        </w:tc>
        <w:tc>
          <w:tcPr>
            <w:tcW w:w="900" w:type="dxa"/>
            <w:vAlign w:val="bottom"/>
          </w:tcPr>
          <w:p>
            <w:pPr>
              <w:ind w:left="300"/>
              <w:spacing w:after="0"/>
              <w:rPr>
                <w:sz w:val="20"/>
                <w:szCs w:val="20"/>
                <w:color w:val="auto"/>
              </w:rPr>
            </w:pPr>
            <w:r>
              <w:rPr>
                <w:rFonts w:ascii="Arial" w:cs="Arial" w:eastAsia="Arial" w:hAnsi="Arial"/>
                <w:sz w:val="18"/>
                <w:szCs w:val="18"/>
                <w:color w:val="auto"/>
                <w:w w:val="91"/>
              </w:rPr>
              <w:t>Director</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Craig A. Jacobson</w:t>
            </w:r>
          </w:p>
        </w:tc>
        <w:tc>
          <w:tcPr>
            <w:tcW w:w="90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Maffei</w:t>
            </w:r>
          </w:p>
        </w:tc>
        <w:tc>
          <w:tcPr>
            <w:tcW w:w="900" w:type="dxa"/>
            <w:vAlign w:val="bottom"/>
          </w:tcPr>
          <w:p>
            <w:pPr>
              <w:ind w:left="300"/>
              <w:spacing w:after="0"/>
              <w:rPr>
                <w:sz w:val="20"/>
                <w:szCs w:val="20"/>
                <w:color w:val="auto"/>
              </w:rPr>
            </w:pPr>
            <w:r>
              <w:rPr>
                <w:rFonts w:ascii="Arial" w:cs="Arial" w:eastAsia="Arial" w:hAnsi="Arial"/>
                <w:sz w:val="18"/>
                <w:szCs w:val="18"/>
                <w:color w:val="auto"/>
                <w:w w:val="91"/>
              </w:rPr>
              <w:t>Director</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Gregory Maffei</w:t>
            </w:r>
          </w:p>
        </w:tc>
        <w:tc>
          <w:tcPr>
            <w:tcW w:w="90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D. Markley, Jr.</w:t>
            </w:r>
          </w:p>
        </w:tc>
        <w:tc>
          <w:tcPr>
            <w:tcW w:w="900" w:type="dxa"/>
            <w:vAlign w:val="bottom"/>
          </w:tcPr>
          <w:p>
            <w:pPr>
              <w:ind w:left="300"/>
              <w:spacing w:after="0"/>
              <w:rPr>
                <w:sz w:val="20"/>
                <w:szCs w:val="20"/>
                <w:color w:val="auto"/>
              </w:rPr>
            </w:pPr>
            <w:r>
              <w:rPr>
                <w:rFonts w:ascii="Arial" w:cs="Arial" w:eastAsia="Arial" w:hAnsi="Arial"/>
                <w:sz w:val="18"/>
                <w:szCs w:val="18"/>
                <w:color w:val="auto"/>
                <w:w w:val="91"/>
              </w:rPr>
              <w:t>Director</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John D. Markley, Jr.</w:t>
            </w:r>
          </w:p>
        </w:tc>
        <w:tc>
          <w:tcPr>
            <w:tcW w:w="90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C. Merritt</w:t>
            </w:r>
          </w:p>
        </w:tc>
        <w:tc>
          <w:tcPr>
            <w:tcW w:w="900" w:type="dxa"/>
            <w:vAlign w:val="bottom"/>
          </w:tcPr>
          <w:p>
            <w:pPr>
              <w:ind w:left="300"/>
              <w:spacing w:after="0"/>
              <w:rPr>
                <w:sz w:val="20"/>
                <w:szCs w:val="20"/>
                <w:color w:val="auto"/>
              </w:rPr>
            </w:pPr>
            <w:r>
              <w:rPr>
                <w:rFonts w:ascii="Arial" w:cs="Arial" w:eastAsia="Arial" w:hAnsi="Arial"/>
                <w:sz w:val="18"/>
                <w:szCs w:val="18"/>
                <w:color w:val="auto"/>
                <w:w w:val="91"/>
              </w:rPr>
              <w:t>Director</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David C. Merritt</w:t>
            </w:r>
          </w:p>
        </w:tc>
        <w:tc>
          <w:tcPr>
            <w:tcW w:w="90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E. Meyer</w:t>
            </w:r>
          </w:p>
        </w:tc>
        <w:tc>
          <w:tcPr>
            <w:tcW w:w="900" w:type="dxa"/>
            <w:vAlign w:val="bottom"/>
          </w:tcPr>
          <w:p>
            <w:pPr>
              <w:ind w:left="300"/>
              <w:spacing w:after="0"/>
              <w:rPr>
                <w:sz w:val="20"/>
                <w:szCs w:val="20"/>
                <w:color w:val="auto"/>
              </w:rPr>
            </w:pPr>
            <w:r>
              <w:rPr>
                <w:rFonts w:ascii="Arial" w:cs="Arial" w:eastAsia="Arial" w:hAnsi="Arial"/>
                <w:sz w:val="18"/>
                <w:szCs w:val="18"/>
                <w:color w:val="auto"/>
                <w:w w:val="91"/>
              </w:rPr>
              <w:t>Director</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James E. Meyer</w:t>
            </w:r>
          </w:p>
        </w:tc>
        <w:tc>
          <w:tcPr>
            <w:tcW w:w="90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Miron</w:t>
            </w:r>
          </w:p>
        </w:tc>
        <w:tc>
          <w:tcPr>
            <w:tcW w:w="900" w:type="dxa"/>
            <w:vAlign w:val="bottom"/>
          </w:tcPr>
          <w:p>
            <w:pPr>
              <w:ind w:left="300"/>
              <w:spacing w:after="0"/>
              <w:rPr>
                <w:sz w:val="20"/>
                <w:szCs w:val="20"/>
                <w:color w:val="auto"/>
              </w:rPr>
            </w:pPr>
            <w:r>
              <w:rPr>
                <w:rFonts w:ascii="Arial" w:cs="Arial" w:eastAsia="Arial" w:hAnsi="Arial"/>
                <w:sz w:val="18"/>
                <w:szCs w:val="18"/>
                <w:color w:val="auto"/>
                <w:w w:val="91"/>
              </w:rPr>
              <w:t>Director</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Steven Miron</w:t>
            </w:r>
          </w:p>
        </w:tc>
        <w:tc>
          <w:tcPr>
            <w:tcW w:w="90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Balan Nair</w:t>
            </w:r>
          </w:p>
        </w:tc>
        <w:tc>
          <w:tcPr>
            <w:tcW w:w="900" w:type="dxa"/>
            <w:vAlign w:val="bottom"/>
          </w:tcPr>
          <w:p>
            <w:pPr>
              <w:ind w:left="300"/>
              <w:spacing w:after="0"/>
              <w:rPr>
                <w:sz w:val="20"/>
                <w:szCs w:val="20"/>
                <w:color w:val="auto"/>
              </w:rPr>
            </w:pPr>
            <w:r>
              <w:rPr>
                <w:rFonts w:ascii="Arial" w:cs="Arial" w:eastAsia="Arial" w:hAnsi="Arial"/>
                <w:sz w:val="18"/>
                <w:szCs w:val="18"/>
                <w:color w:val="auto"/>
                <w:w w:val="91"/>
              </w:rPr>
              <w:t>Director</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Balan Nair</w:t>
            </w:r>
          </w:p>
        </w:tc>
        <w:tc>
          <w:tcPr>
            <w:tcW w:w="90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Newhouse</w:t>
            </w:r>
          </w:p>
        </w:tc>
        <w:tc>
          <w:tcPr>
            <w:tcW w:w="900" w:type="dxa"/>
            <w:vAlign w:val="bottom"/>
          </w:tcPr>
          <w:p>
            <w:pPr>
              <w:ind w:left="300"/>
              <w:spacing w:after="0"/>
              <w:rPr>
                <w:sz w:val="20"/>
                <w:szCs w:val="20"/>
                <w:color w:val="auto"/>
              </w:rPr>
            </w:pPr>
            <w:r>
              <w:rPr>
                <w:rFonts w:ascii="Arial" w:cs="Arial" w:eastAsia="Arial" w:hAnsi="Arial"/>
                <w:sz w:val="18"/>
                <w:szCs w:val="18"/>
                <w:color w:val="auto"/>
                <w:w w:val="91"/>
              </w:rPr>
              <w:t>Director</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Michael Newhouse</w:t>
            </w:r>
          </w:p>
        </w:tc>
        <w:tc>
          <w:tcPr>
            <w:tcW w:w="900" w:type="dxa"/>
            <w:vAlign w:val="bottom"/>
          </w:tcPr>
          <w:p>
            <w:pPr>
              <w:spacing w:after="0"/>
              <w:rPr>
                <w:sz w:val="19"/>
                <w:szCs w:val="19"/>
                <w:color w:val="auto"/>
              </w:rPr>
            </w:pPr>
          </w:p>
        </w:tc>
      </w:tr>
      <w:tr>
        <w:trPr>
          <w:trHeight w:val="43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Mauricio Ramos</w:t>
            </w:r>
          </w:p>
        </w:tc>
        <w:tc>
          <w:tcPr>
            <w:tcW w:w="900" w:type="dxa"/>
            <w:vAlign w:val="bottom"/>
          </w:tcPr>
          <w:p>
            <w:pPr>
              <w:ind w:left="300"/>
              <w:spacing w:after="0"/>
              <w:rPr>
                <w:sz w:val="20"/>
                <w:szCs w:val="20"/>
                <w:color w:val="auto"/>
              </w:rPr>
            </w:pPr>
            <w:r>
              <w:rPr>
                <w:rFonts w:ascii="Arial" w:cs="Arial" w:eastAsia="Arial" w:hAnsi="Arial"/>
                <w:sz w:val="18"/>
                <w:szCs w:val="18"/>
                <w:color w:val="auto"/>
                <w:w w:val="91"/>
              </w:rPr>
              <w:t>Director</w:t>
            </w:r>
          </w:p>
        </w:tc>
      </w:tr>
      <w:tr>
        <w:trPr>
          <w:trHeight w:val="224"/>
        </w:trPr>
        <w:tc>
          <w:tcPr>
            <w:tcW w:w="4200" w:type="dxa"/>
            <w:vAlign w:val="bottom"/>
          </w:tcPr>
          <w:p>
            <w:pPr>
              <w:spacing w:after="0"/>
              <w:rPr>
                <w:sz w:val="20"/>
                <w:szCs w:val="20"/>
                <w:color w:val="auto"/>
              </w:rPr>
            </w:pPr>
            <w:r>
              <w:rPr>
                <w:rFonts w:ascii="Arial" w:cs="Arial" w:eastAsia="Arial" w:hAnsi="Arial"/>
                <w:sz w:val="18"/>
                <w:szCs w:val="18"/>
                <w:color w:val="auto"/>
              </w:rPr>
              <w:t>Mauricio Ramos</w:t>
            </w:r>
          </w:p>
        </w:tc>
        <w:tc>
          <w:tcPr>
            <w:tcW w:w="900" w:type="dxa"/>
            <w:vAlign w:val="bottom"/>
          </w:tcPr>
          <w:p>
            <w:pPr>
              <w:spacing w:after="0"/>
              <w:rPr>
                <w:sz w:val="19"/>
                <w:szCs w:val="19"/>
                <w:color w:val="auto"/>
              </w:rPr>
            </w:pPr>
          </w:p>
        </w:tc>
      </w:tr>
    </w:tbl>
    <w:p>
      <w:pPr>
        <w:spacing w:after="0" w:line="133"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19"/>
          </w:cols>
          <w:pgMar w:left="440" w:top="490" w:right="1440"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2169795" cy="8147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8">
                      <a:extLst>
                        <a:ext uri="{28A0092B-C50C-407E-A947-70E740481C1C}"/>
                      </a:extLst>
                    </a:blip>
                    <a:srcRect/>
                    <a:stretch>
                      <a:fillRect/>
                    </a:stretch>
                  </pic:blipFill>
                  <pic:spPr bwMode="auto">
                    <a:xfrm>
                      <a:off x="0" y="0"/>
                      <a:ext cx="216979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RICHARD R. DYKHOUSE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Executive Vice President, General Counsel and</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Corporate 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July 26,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400 Atlantic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Connecticut 06901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Issuance of Class A Common Stock pursuant to Charter Communications, Inc. 2019 Stock Incentive Plan</w:t>
      </w:r>
    </w:p>
    <w:p>
      <w:pPr>
        <w:spacing w:after="0" w:line="225"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With reference to the Form S-8 Registration Statement filed with the Securities and Exchange Commission on July 26, 2019 (the “Registration Statement”) pertaining to the proposed issuance by Charter Communications, Inc. (the “Company”) of an aggregate of up to 16,000,000 shares of the Company’s Class A Common Stock, par value $0.001 per share (the “Shares”), issuable pursuant to the Company’s 2019 Stock Incentive Plan (the “Plan”), I or attorneys under my supervision (together, “we” or “us” and in the possessive “our”) have examined such corporate records of the Company, such laws and such other information as we have deemed relevant, including the Registration Statement, the Amended and Restated Certificate of Incorporation of the Company, the Bylaws of the Company, certain resolutions and actions adopted by the Board of Directors of the Company relating to such issuance, the written documents constituting the Plan, and statements we have received from officers and representatives of the Company.</w:t>
      </w:r>
    </w:p>
    <w:p>
      <w:pPr>
        <w:spacing w:after="0" w:line="167" w:lineRule="exact"/>
        <w:rPr>
          <w:sz w:val="20"/>
          <w:szCs w:val="20"/>
          <w:color w:val="auto"/>
        </w:rPr>
      </w:pPr>
    </w:p>
    <w:p>
      <w:pPr>
        <w:ind w:right="80" w:firstLine="441"/>
        <w:spacing w:after="0" w:line="297" w:lineRule="auto"/>
        <w:rPr>
          <w:sz w:val="20"/>
          <w:szCs w:val="20"/>
          <w:color w:val="auto"/>
        </w:rPr>
      </w:pPr>
      <w:r>
        <w:rPr>
          <w:rFonts w:ascii="Arial" w:cs="Arial" w:eastAsia="Arial" w:hAnsi="Arial"/>
          <w:sz w:val="16"/>
          <w:szCs w:val="16"/>
          <w:color w:val="auto"/>
        </w:rPr>
        <w:t>Except to the extent expressly set forth herein, we have not undertaken any independent investigation to determine the existence or absence of such facts and no inference as to our knowledge of the existence or absence of such facts should be drawn from our representation of the Company. In examining such materials and in delivering this opinion, we have assumed the genuineness of all signatures, the authenticity of all documents submitted to us as originals, the conformity to the originals of all documents submitted to us as certified, photostatic or conformed copies, and the authenticity of the originals of all such latter documents, and the correctness of statements submitted to us by officers and directors of the Company.</w:t>
      </w:r>
    </w:p>
    <w:p>
      <w:pPr>
        <w:spacing w:after="0" w:line="158" w:lineRule="exact"/>
        <w:rPr>
          <w:sz w:val="20"/>
          <w:szCs w:val="20"/>
          <w:color w:val="auto"/>
        </w:rPr>
      </w:pPr>
    </w:p>
    <w:p>
      <w:pPr>
        <w:ind w:right="100" w:firstLine="441"/>
        <w:spacing w:after="0" w:line="342" w:lineRule="auto"/>
        <w:rPr>
          <w:sz w:val="20"/>
          <w:szCs w:val="20"/>
          <w:color w:val="auto"/>
        </w:rPr>
      </w:pPr>
      <w:r>
        <w:rPr>
          <w:rFonts w:ascii="Arial" w:cs="Arial" w:eastAsia="Arial" w:hAnsi="Arial"/>
          <w:sz w:val="16"/>
          <w:szCs w:val="16"/>
          <w:color w:val="auto"/>
        </w:rPr>
        <w:t>Based solely on the foregoing and subject to the qualifications set forth herein, I am of the opinion that the Shares have been duly authorized and, when issued by the Company in accordance with the Plan, will be duly and validly issued and will be fully paid and nonassessable.</w:t>
      </w:r>
    </w:p>
    <w:p>
      <w:pPr>
        <w:spacing w:after="0" w:line="124"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I hereby consent to the filing of this opinion as an exhibit to the Registration Statement. I further consent to the filing of copies of this opinion with agencies of such states and other jurisdictions as you deem necessary in the course of complying with the laws of the states and jurisdictions regarding the sale and issuance of the Shares.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R. Dykhouse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wp:posOffset>
            </wp:positionV>
            <wp:extent cx="12382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9">
                      <a:extLst>
                        <a:ext uri="{28A0092B-C50C-407E-A947-70E740481C1C}"/>
                      </a:extLst>
                    </a:blip>
                    <a:srcRect/>
                    <a:stretch>
                      <a:fillRect/>
                    </a:stretch>
                  </pic:blipFill>
                  <pic:spPr bwMode="auto">
                    <a:xfrm>
                      <a:off x="0" y="0"/>
                      <a:ext cx="12382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Richard R. Dykhouse, Esq.</w:t>
      </w:r>
    </w:p>
    <w:p>
      <w:pPr>
        <w:sectPr>
          <w:pgSz w:w="11900" w:h="16838" w:orient="portrait"/>
          <w:cols w:equalWidth="0" w:num="1">
            <w:col w:w="11020"/>
          </w:cols>
          <w:pgMar w:left="440" w:top="121" w:right="4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Charter Communications, Inc.:</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consent to the incorporation by reference in the registration statement on Form S-8 of Charter Communications, Inc. of our report dated January 30, 2019, with respect to the consolidated balance sheets of Charter Communications, Inc. as of December 31, 2018 and 2017, the related consolidated statements of operations, comprehensive income, changes in shareholders’ equity (deficit), and cash flows for each of the years in the three-year period ended December 31, 2018, and the related notes, and the effectiveness of internal control over financial reporting as of December 31, 2018, which report appears in the December 31, 2018 annual report on Form 10-K of Charter Communications, Inc.</w:t>
      </w:r>
    </w:p>
    <w:p>
      <w:pPr>
        <w:spacing w:after="0" w:line="17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(signed)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 Louis, Missouri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26,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3">
    <w:nsid w:val="46E87CCD"/>
    <w:multiLevelType w:val="hybridMultilevel"/>
    <w:lvl w:ilvl="0">
      <w:lvlJc w:val="left"/>
      <w:lvlText w:val="(%1)"/>
      <w:numFmt w:val="lowerRoman"/>
      <w:start w:val="2"/>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jpeg"/><Relationship Id="rId39" Type="http://schemas.openxmlformats.org/officeDocument/2006/relationships/image" Target="media/image18.png"/><Relationship Id="rId18" Type="http://schemas.openxmlformats.org/officeDocument/2006/relationships/hyperlink" Target="http://www.sec.gov/Archives/edgar/data/1091667/000109166719000029/chtr12312018-10k.htm" TargetMode="External"/><Relationship Id="rId19" Type="http://schemas.openxmlformats.org/officeDocument/2006/relationships/hyperlink" Target="http://www.sec.gov/Archives/edgar/data/1091667/000109166719000085/chtr3312019-10q.htm" TargetMode="External"/><Relationship Id="rId20" Type="http://schemas.openxmlformats.org/officeDocument/2006/relationships/hyperlink" Target="http://www.sec.gov/Archives/edgar/data/1091667/000109166719000097/chtr6302019-10q.htm" TargetMode="External"/><Relationship Id="rId21" Type="http://schemas.openxmlformats.org/officeDocument/2006/relationships/hyperlink" Target="http://www.sec.gov/Archives/edgar/data/1091667/000119312519011585/d664747d8k.htm" TargetMode="External"/><Relationship Id="rId22" Type="http://schemas.openxmlformats.org/officeDocument/2006/relationships/hyperlink" Target="http://www.sec.gov/Archives/edgar/data/1091667/000119312519015581/d693743d8k.htm" TargetMode="External"/><Relationship Id="rId23" Type="http://schemas.openxmlformats.org/officeDocument/2006/relationships/hyperlink" Target="http://www.sec.gov/Archives/edgar/data/1091667/000119312519022615/d679482d8k.htm" TargetMode="External"/><Relationship Id="rId24" Type="http://schemas.openxmlformats.org/officeDocument/2006/relationships/hyperlink" Target="http://www.sec.gov/Archives/edgar/data/1091667/000109166719000080/a042919chtr8-k.htm" TargetMode="External"/><Relationship Id="rId25" Type="http://schemas.openxmlformats.org/officeDocument/2006/relationships/hyperlink" Target="http://www.sec.gov/Archives/edgar/data/1091667/000119312519161294/d753026d8k.htm" TargetMode="External"/><Relationship Id="rId26" Type="http://schemas.openxmlformats.org/officeDocument/2006/relationships/hyperlink" Target="http://www.sec.gov/Archives/edgar/data/1091667/000119312519187406/d754169d8k.htm" TargetMode="External"/><Relationship Id="rId27" Type="http://schemas.openxmlformats.org/officeDocument/2006/relationships/hyperlink" Target="http://www.sec.gov/Archives/edgar/data/1091667/000119312519191919/d96706d8k.htm" TargetMode="External"/><Relationship Id="rId31" Type="http://schemas.openxmlformats.org/officeDocument/2006/relationships/hyperlink" Target="http://www.sec.gov/Archives/edgar/data/1091667/000119312516596195/d148819dex31.htm" TargetMode="External"/><Relationship Id="rId32" Type="http://schemas.openxmlformats.org/officeDocument/2006/relationships/hyperlink" Target="http://www.sec.gov/Archives/edgar/data/1091667/000119312516596195/d148819dex32.htm" TargetMode="External"/><Relationship Id="rId33" Type="http://schemas.openxmlformats.org/officeDocument/2006/relationships/hyperlink" Target="http://www.sec.gov/Archives/edgar/data/1091667/000109166718000084/a072418exh31.htm" TargetMode="External"/><Relationship Id="rId34" Type="http://schemas.openxmlformats.org/officeDocument/2006/relationships/hyperlink" Target="http://www.sec.gov/Archives/edgar/data/1091667/000119312519074765/d717086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2019-12-21T01:32:44Z</dcterms:created>
  <dcterms:modified xsi:type="dcterms:W3CDTF">2019-12-21T01:32:44Z</dcterms:modified>
</cp:coreProperties>
</file>