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41-1_4seq1.xml.htm"/>
      <w:bookmarkStart w:id="1" w:name="kstm262304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Liberty Broadband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12300 LIBERTY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77"/>
        <w:gridCol w:w="932"/>
        <w:gridCol w:w="802"/>
        <w:gridCol w:w="618"/>
        <w:gridCol w:w="333"/>
        <w:gridCol w:w="782"/>
        <w:gridCol w:w="393"/>
        <w:gridCol w:w="850"/>
        <w:gridCol w:w="1334"/>
        <w:gridCol w:w="938"/>
        <w:gridCol w:w="15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9,900</w:t>
            </w:r>
          </w:p>
        </w:tc>
        <w:tc>
          <w:tcPr>
            <w:tcW w:w="3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133.86</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38,583,663</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through wholly-owned subsidiaries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shares were sold to the Issuer in an exempt transaction pursuant to Rule 16b-3 under the Securities Exchange Act of 1934, as amended, pursuant to the terms of the Second Amended and Restated Stockholders Agreement, dated as of May 23, 2015, as amended, by and among, among others, the Issuer, Advance/Newhouse Partnership and the Reporting Person, the Letter Agreement, dated February 23, 2021, between the Issuer and the Reporting Person, Amendment No. 1 to the Second Amended and Restated Stockholders Agreement and the Letter Agreement, dated as of November 12, 2024, by and among, among others, the Issuer and the Reporting Person, and the Letter Agreement, dated March 5, 2026, by and among the Issuer, the Reporting Person and Advance/Newhouse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Liberty Broadband Corporation By: /s/ Brittany A. Uthoff Name: Brittany A. Uthoff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98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3825</Characters>
  <CharactersWithSpaces>4458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