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160020</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w:t>
            </w:r>
          </w:p>
        </w:tc>
      </w:tr>
      <w:tr>
        <w:trPr>
          <w:trHeight w:val="216"/>
        </w:trPr>
        <w:tc>
          <w:tcPr>
            <w:tcW w:w="3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40" w:type="dxa"/>
            <w:vAlign w:val="bottom"/>
            <w:gridSpan w:val="6"/>
          </w:tcPr>
          <w:p>
            <w:pPr>
              <w:jc w:val="center"/>
              <w:ind w:right="4328"/>
              <w:spacing w:after="0"/>
              <w:rPr>
                <w:sz w:val="20"/>
                <w:szCs w:val="20"/>
                <w:color w:val="auto"/>
              </w:rPr>
            </w:pPr>
            <w:r>
              <w:rPr>
                <w:rFonts w:ascii="Times New Roman" w:cs="Times New Roman" w:eastAsia="Times New Roman" w:hAnsi="Times New Roman"/>
                <w:sz w:val="18"/>
                <w:szCs w:val="18"/>
                <w:b w:val="1"/>
                <w:bCs w:val="1"/>
                <w:color w:val="auto"/>
              </w:rPr>
              <w:t>CCO Holdings, LLC</w:t>
            </w:r>
          </w:p>
        </w:tc>
      </w:tr>
      <w:tr>
        <w:trPr>
          <w:trHeight w:val="198"/>
        </w:trPr>
        <w:tc>
          <w:tcPr>
            <w:tcW w:w="3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40" w:type="dxa"/>
            <w:vAlign w:val="bottom"/>
            <w:gridSpan w:val="6"/>
          </w:tcPr>
          <w:p>
            <w:pPr>
              <w:jc w:val="center"/>
              <w:ind w:right="4328"/>
              <w:spacing w:after="0" w:line="198" w:lineRule="exact"/>
              <w:rPr>
                <w:sz w:val="20"/>
                <w:szCs w:val="20"/>
                <w:color w:val="auto"/>
              </w:rPr>
            </w:pPr>
            <w:r>
              <w:rPr>
                <w:rFonts w:ascii="Times New Roman" w:cs="Times New Roman" w:eastAsia="Times New Roman" w:hAnsi="Times New Roman"/>
                <w:sz w:val="18"/>
                <w:szCs w:val="18"/>
                <w:b w:val="1"/>
                <w:bCs w:val="1"/>
                <w:color w:val="auto"/>
                <w:w w:val="99"/>
              </w:rPr>
              <w:t>CCO Holdings Capital Corp.</w:t>
            </w:r>
          </w:p>
        </w:tc>
      </w:tr>
      <w:tr>
        <w:trPr>
          <w:trHeight w:val="20"/>
        </w:trPr>
        <w:tc>
          <w:tcPr>
            <w:tcW w:w="3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6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415"/>
        </w:trPr>
        <w:tc>
          <w:tcPr>
            <w:tcW w:w="3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5"/>
          </w:tcPr>
          <w:p>
            <w:pPr>
              <w:jc w:val="center"/>
              <w:ind w:right="5088"/>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0"/>
        </w:trPr>
        <w:tc>
          <w:tcPr>
            <w:tcW w:w="36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186"/>
        </w:trPr>
        <w:tc>
          <w:tcPr>
            <w:tcW w:w="3620" w:type="dxa"/>
            <w:vAlign w:val="bottom"/>
          </w:tcPr>
          <w:p>
            <w:pPr>
              <w:spacing w:after="0"/>
              <w:rPr>
                <w:sz w:val="16"/>
                <w:szCs w:val="16"/>
                <w:color w:val="auto"/>
              </w:rPr>
            </w:pPr>
          </w:p>
        </w:tc>
        <w:tc>
          <w:tcPr>
            <w:tcW w:w="7400" w:type="dxa"/>
            <w:vAlign w:val="bottom"/>
            <w:gridSpan w:val="7"/>
          </w:tcPr>
          <w:p>
            <w:pPr>
              <w:jc w:val="center"/>
              <w:ind w:right="3548"/>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r>
      <w:tr>
        <w:trPr>
          <w:trHeight w:val="258"/>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001-33664</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84-1496755</w:t>
            </w:r>
          </w:p>
        </w:tc>
      </w:tr>
      <w:tr>
        <w:trPr>
          <w:trHeight w:val="229"/>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001-37789</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86-1067239</w:t>
            </w:r>
          </w:p>
        </w:tc>
      </w:tr>
      <w:tr>
        <w:trPr>
          <w:trHeight w:val="238"/>
        </w:trPr>
        <w:tc>
          <w:tcPr>
            <w:tcW w:w="3620" w:type="dxa"/>
            <w:vAlign w:val="bottom"/>
          </w:tcPr>
          <w:p>
            <w:pPr>
              <w:jc w:val="center"/>
              <w:ind w:left="1675"/>
              <w:spacing w:after="0"/>
              <w:rPr>
                <w:sz w:val="20"/>
                <w:szCs w:val="20"/>
                <w:color w:val="auto"/>
              </w:rPr>
            </w:pPr>
            <w:r>
              <w:rPr>
                <w:rFonts w:ascii="Times New Roman" w:cs="Times New Roman" w:eastAsia="Times New Roman" w:hAnsi="Times New Roman"/>
                <w:sz w:val="18"/>
                <w:szCs w:val="18"/>
                <w:b w:val="1"/>
                <w:bCs w:val="1"/>
                <w:color w:val="auto"/>
                <w:w w:val="99"/>
              </w:rPr>
              <w:t>333-112593-01</w:t>
            </w:r>
          </w:p>
        </w:tc>
        <w:tc>
          <w:tcPr>
            <w:tcW w:w="7400" w:type="dxa"/>
            <w:vAlign w:val="bottom"/>
            <w:gridSpan w:val="7"/>
          </w:tcPr>
          <w:p>
            <w:pPr>
              <w:jc w:val="center"/>
              <w:ind w:left="1776"/>
              <w:spacing w:after="0"/>
              <w:rPr>
                <w:sz w:val="20"/>
                <w:szCs w:val="20"/>
                <w:color w:val="auto"/>
              </w:rPr>
            </w:pPr>
            <w:r>
              <w:rPr>
                <w:rFonts w:ascii="Times New Roman" w:cs="Times New Roman" w:eastAsia="Times New Roman" w:hAnsi="Times New Roman"/>
                <w:sz w:val="18"/>
                <w:szCs w:val="18"/>
                <w:b w:val="1"/>
                <w:bCs w:val="1"/>
                <w:color w:val="auto"/>
                <w:w w:val="98"/>
              </w:rPr>
              <w:t>20-0257904</w:t>
            </w:r>
          </w:p>
        </w:tc>
      </w:tr>
      <w:tr>
        <w:trPr>
          <w:trHeight w:val="184"/>
        </w:trPr>
        <w:tc>
          <w:tcPr>
            <w:tcW w:w="3620" w:type="dxa"/>
            <w:vAlign w:val="bottom"/>
            <w:tcBorders>
              <w:top w:val="single" w:sz="8" w:color="auto"/>
            </w:tcBorders>
          </w:tcPr>
          <w:p>
            <w:pPr>
              <w:ind w:left="1900"/>
              <w:spacing w:after="0"/>
              <w:rPr>
                <w:sz w:val="20"/>
                <w:szCs w:val="20"/>
                <w:color w:val="auto"/>
              </w:rPr>
            </w:pPr>
            <w:r>
              <w:rPr>
                <w:rFonts w:ascii="Times New Roman" w:cs="Times New Roman" w:eastAsia="Times New Roman" w:hAnsi="Times New Roman"/>
                <w:sz w:val="14"/>
                <w:szCs w:val="14"/>
                <w:i w:val="1"/>
                <w:iCs w:val="1"/>
                <w:color w:val="auto"/>
              </w:rPr>
              <w:t>(Commission File Number)</w:t>
            </w:r>
          </w:p>
        </w:tc>
        <w:tc>
          <w:tcPr>
            <w:tcW w:w="7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400" w:type="dxa"/>
            <w:vAlign w:val="bottom"/>
            <w:tcBorders>
              <w:top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400 Washington Blvd.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Stamford, Connecticut 06902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(203) 905-7801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pacing w:after="0" w:line="32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CHTR</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30, 2026, Charter Communications, Inc. issued a press release announcing its results for the fourth quarter ended December 31, 2025. The following information, including the entirety of the press release appearing in Exhibit 99.1 hereto, is not filed but is furnished pursuant to item 2.02,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418"/>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30, 2026</w:t>
            </w:r>
          </w:p>
        </w:tc>
        <w:tc>
          <w:tcPr>
            <w:tcW w:w="6260" w:type="dxa"/>
            <w:vAlign w:val="bottom"/>
            <w:gridSpan w:val="2"/>
          </w:tcPr>
          <w:p>
            <w:pPr>
              <w:spacing w:after="0"/>
              <w:rPr>
                <w:sz w:val="24"/>
                <w:szCs w:val="24"/>
                <w:color w:val="auto"/>
              </w:rPr>
            </w:pPr>
          </w:p>
        </w:tc>
      </w:tr>
      <w:tr>
        <w:trPr>
          <w:trHeight w:val="25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2"/>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furnished herewith</w:t>
            </w: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0"/>
        </w:trPr>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Securities and Exchange Commission ("SEC"). Many of the forward-looking statements contained in this current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current report are set forth in other reports or documents that we file from time to time with the SEC, and include, but are not limited to:</w:t>
      </w:r>
    </w:p>
    <w:p>
      <w:pPr>
        <w:spacing w:after="0" w:line="219" w:lineRule="exact"/>
        <w:rPr>
          <w:sz w:val="20"/>
          <w:szCs w:val="20"/>
          <w:color w:val="auto"/>
        </w:rPr>
      </w:pPr>
    </w:p>
    <w:p>
      <w:pPr>
        <w:jc w:val="both"/>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ind w:left="660" w:hanging="328"/>
        <w:spacing w:after="0" w:line="24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satisfy the conditions to consummate the Liberty Broadband Combination and/or the Cox Transactions and/or to consummate the Liberty Broadband Combination and/or the Cox Transactions in a timely manner or at all;</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being restricted in the operation of our business while the Liberty Broadband Merger Agreement and the Cox Communications Transaction Agreement are in effect;</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Cox Transactions as described in the definitive proxy statement with respect to the Cox Transactions, filed by Charter on July 2, 2025, including the sections entitled “Risk Factors” and “Where You Can Find More Information” included therein.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ectPr>
          <w:pgSz w:w="11900" w:h="16838" w:orient="portrait"/>
          <w:cols w:equalWidth="0" w:num="1">
            <w:col w:w="11240"/>
          </w:cols>
          <w:pgMar w:left="320" w:top="88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92024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Charter Announces Fourth Quarter and Full Year 2025 Results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b w:val="1"/>
          <w:bCs w:val="1"/>
          <w:color w:val="auto"/>
        </w:rPr>
        <w:t xml:space="preserve">Stamford, Connecticut </w:t>
      </w:r>
      <w:r>
        <w:rPr>
          <w:rFonts w:ascii="Arial" w:cs="Arial" w:eastAsia="Arial" w:hAnsi="Arial"/>
          <w:sz w:val="20"/>
          <w:szCs w:val="20"/>
          <w:color w:val="auto"/>
        </w:rPr>
        <w:t>- January 30, 2026 - Charter Communications, Inc. (along with its subsidiaries,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or “Charter”), which operates the Spectrum brand, today reported financial and operating results for the three and twelve months ended December 31, 2025.</w:t>
      </w:r>
    </w:p>
    <w:p>
      <w:pPr>
        <w:spacing w:after="0" w:line="204" w:lineRule="exact"/>
        <w:rPr>
          <w:sz w:val="20"/>
          <w:szCs w:val="20"/>
          <w:color w:val="auto"/>
        </w:rPr>
      </w:pPr>
    </w:p>
    <w:p>
      <w:pPr>
        <w:ind w:left="34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total Internet customers declined by 119,000. As of December 31, 2025, Charter served 29.7 million Internet customers.</w:t>
      </w:r>
    </w:p>
    <w:p>
      <w:pPr>
        <w:spacing w:after="0" w:line="167"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total mobile lines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increased by 428,000. As of December 31, 2025, Charter served 11.8 million mobile lines.</w:t>
      </w:r>
    </w:p>
    <w:p>
      <w:pPr>
        <w:spacing w:after="0" w:line="198"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As of December 31, 2025, customer relationships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totaled 31.8 million and connectivity customers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totaled 30.6 million.</w:t>
      </w:r>
    </w:p>
    <w:p>
      <w:pPr>
        <w:spacing w:after="0" w:line="185" w:lineRule="exact"/>
        <w:rPr>
          <w:rFonts w:ascii="Arial" w:cs="Arial" w:eastAsia="Arial" w:hAnsi="Arial"/>
          <w:sz w:val="20"/>
          <w:szCs w:val="20"/>
          <w:b w:val="1"/>
          <w:bCs w:val="1"/>
          <w:color w:val="auto"/>
        </w:rPr>
      </w:pPr>
    </w:p>
    <w:p>
      <w:pPr>
        <w:ind w:left="340" w:right="2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revenue of $13.6 billion declined by 2.3% year-over-year, driven by lower residential video and political advertising revenues. Residential connectivity revenue grew 2.3% year-over-year.</w:t>
      </w:r>
    </w:p>
    <w:p>
      <w:pPr>
        <w:spacing w:after="0" w:line="180" w:lineRule="exact"/>
        <w:rPr>
          <w:rFonts w:ascii="Arial" w:cs="Arial" w:eastAsia="Arial" w:hAnsi="Arial"/>
          <w:sz w:val="20"/>
          <w:szCs w:val="20"/>
          <w:b w:val="1"/>
          <w:bCs w:val="1"/>
          <w:color w:val="auto"/>
        </w:rPr>
      </w:pPr>
    </w:p>
    <w:p>
      <w:pPr>
        <w:ind w:left="340" w:hanging="251"/>
        <w:spacing w:after="0" w:line="271"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income attributable to Charter shareholders totaled $1.3 billion in the fourth quarter. For the year ended December 31, 2025, net income attributable to Charter shareholders totaled $5.0 billion.</w:t>
      </w:r>
    </w:p>
    <w:p>
      <w:pPr>
        <w:spacing w:after="0" w:line="196"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Adjusted EBITDA</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$5.7 billion declined by 1.2% year-over-year.</w:t>
      </w:r>
    </w:p>
    <w:p>
      <w:pPr>
        <w:spacing w:after="0" w:line="185" w:lineRule="exact"/>
        <w:rPr>
          <w:rFonts w:ascii="Arial" w:cs="Arial" w:eastAsia="Arial" w:hAnsi="Arial"/>
          <w:sz w:val="20"/>
          <w:szCs w:val="20"/>
          <w:b w:val="1"/>
          <w:bCs w:val="1"/>
          <w:color w:val="auto"/>
        </w:rPr>
      </w:pPr>
    </w:p>
    <w:p>
      <w:pPr>
        <w:ind w:left="34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For the year ended December 31, 2025, revenue of $54.8 billion declined by 0.6% year-over-year. Full year 2025 Adjusted EBITDA totaled $22.7 billion, 0.6% higher than in 2024.</w:t>
      </w:r>
    </w:p>
    <w:p>
      <w:pPr>
        <w:spacing w:after="0" w:line="180" w:lineRule="exact"/>
        <w:rPr>
          <w:rFonts w:ascii="Arial" w:cs="Arial" w:eastAsia="Arial" w:hAnsi="Arial"/>
          <w:sz w:val="20"/>
          <w:szCs w:val="20"/>
          <w:b w:val="1"/>
          <w:bCs w:val="1"/>
          <w:color w:val="auto"/>
        </w:rPr>
      </w:pPr>
    </w:p>
    <w:p>
      <w:pPr>
        <w:ind w:left="320" w:hanging="231"/>
        <w:spacing w:after="0"/>
        <w:tabs>
          <w:tab w:leader="none" w:pos="32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For the year ended December 31, 2025, capital expenditures totaled $11.7 billion and included $3.9 billion of line extensions.</w:t>
      </w:r>
    </w:p>
    <w:p>
      <w:pPr>
        <w:spacing w:after="0" w:line="254" w:lineRule="exact"/>
        <w:rPr>
          <w:rFonts w:ascii="Arial" w:cs="Arial" w:eastAsia="Arial" w:hAnsi="Arial"/>
          <w:sz w:val="19"/>
          <w:szCs w:val="19"/>
          <w:b w:val="1"/>
          <w:bCs w:val="1"/>
          <w:color w:val="auto"/>
        </w:rPr>
      </w:pPr>
    </w:p>
    <w:p>
      <w:pPr>
        <w:ind w:left="320" w:hanging="231"/>
        <w:spacing w:after="0"/>
        <w:tabs>
          <w:tab w:leader="none" w:pos="32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Full year 2025 net cash flows from operating activities totaled $16.1 billion versus $14.4 billion in 2024.</w:t>
      </w:r>
    </w:p>
    <w:p>
      <w:pPr>
        <w:spacing w:after="0" w:line="256" w:lineRule="exact"/>
        <w:rPr>
          <w:rFonts w:ascii="Arial" w:cs="Arial" w:eastAsia="Arial" w:hAnsi="Arial"/>
          <w:sz w:val="20"/>
          <w:szCs w:val="20"/>
          <w:b w:val="1"/>
          <w:bCs w:val="1"/>
          <w:color w:val="auto"/>
        </w:rPr>
      </w:pPr>
    </w:p>
    <w:p>
      <w:pPr>
        <w:ind w:left="340" w:hanging="251"/>
        <w:spacing w:after="0" w:line="227"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Full year 2025 free cash flow</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$5.0 billion increased from $4.3 billion in the prior year, primarily due to lower cash taxes and lower cash paid for interest, partly offset by higher capital expenditures.</w:t>
      </w:r>
    </w:p>
    <w:p>
      <w:pPr>
        <w:spacing w:after="0" w:line="226" w:lineRule="exact"/>
        <w:rPr>
          <w:rFonts w:ascii="Arial" w:cs="Arial" w:eastAsia="Arial" w:hAnsi="Arial"/>
          <w:sz w:val="20"/>
          <w:szCs w:val="20"/>
          <w:b w:val="1"/>
          <w:bCs w:val="1"/>
          <w:color w:val="auto"/>
        </w:rPr>
      </w:pPr>
    </w:p>
    <w:p>
      <w:pPr>
        <w:ind w:left="340" w:hanging="251"/>
        <w:spacing w:after="0" w:line="286" w:lineRule="auto"/>
        <w:tabs>
          <w:tab w:leader="none" w:pos="32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For the year ended December 31, 2025, Charter purchased 17.1 million shares of Charter Class A common stock and Charter Holdings common units for approximately $5.4 billion.</w:t>
      </w:r>
    </w:p>
    <w:p>
      <w:pPr>
        <w:spacing w:after="0" w:line="167" w:lineRule="exact"/>
        <w:rPr>
          <w:sz w:val="20"/>
          <w:szCs w:val="20"/>
          <w:color w:val="auto"/>
        </w:rPr>
      </w:pPr>
    </w:p>
    <w:p>
      <w:pPr>
        <w:jc w:val="both"/>
        <w:ind w:left="80" w:firstLine="648"/>
        <w:spacing w:after="0"/>
        <w:rPr>
          <w:sz w:val="20"/>
          <w:szCs w:val="20"/>
          <w:color w:val="auto"/>
        </w:rPr>
      </w:pPr>
      <w:r>
        <w:rPr>
          <w:rFonts w:ascii="Arial" w:cs="Arial" w:eastAsia="Arial" w:hAnsi="Arial"/>
          <w:sz w:val="20"/>
          <w:szCs w:val="20"/>
          <w:color w:val="auto"/>
        </w:rPr>
        <w:t xml:space="preserve">“In 2025, we put Spectrum in a position to provide guaranteed connectivity, guaranteed service and guaranteed savings. We are </w:t>
      </w:r>
      <w:r>
        <w:rPr>
          <w:rFonts w:ascii="Arial" w:cs="Arial" w:eastAsia="Arial" w:hAnsi="Arial"/>
          <w:sz w:val="20"/>
          <w:szCs w:val="20"/>
          <w:i w:val="1"/>
          <w:iCs w:val="1"/>
          <w:color w:val="auto"/>
        </w:rPr>
        <w:t>America’s Connectivity Company</w:t>
      </w:r>
      <w:r>
        <w:rPr>
          <w:rFonts w:ascii="Arial" w:cs="Arial" w:eastAsia="Arial" w:hAnsi="Arial"/>
          <w:sz w:val="9"/>
          <w:szCs w:val="9"/>
          <w:i w:val="1"/>
          <w:iCs w:val="1"/>
          <w:color w:val="auto"/>
        </w:rPr>
        <w:t>TM</w:t>
      </w:r>
      <w:r>
        <w:rPr>
          <w:rFonts w:ascii="Arial" w:cs="Arial" w:eastAsia="Arial" w:hAnsi="Arial"/>
          <w:sz w:val="20"/>
          <w:szCs w:val="20"/>
          <w:color w:val="auto"/>
        </w:rPr>
        <w:t>, providing the best products in the U.S., uniquely serviced 24x7 by U.S.-based employees,” said Chris Winfrey, President and CEO of Charter. “Our focus in 2026 is to message our product utility, value and high-quality service to customers, and deliver sustainable, long-term customer, EBITDA and cash flow growth for shareholders."</w:t>
      </w:r>
    </w:p>
    <w:p>
      <w:pPr>
        <w:spacing w:after="0" w:line="212"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fourth quarter of 2025, certain reporting policies related to mobile lines were revised to better align with other Charter services.</w:t>
      </w:r>
    </w:p>
    <w:p>
      <w:pPr>
        <w:spacing w:after="0" w:line="28" w:lineRule="exact"/>
        <w:rPr>
          <w:rFonts w:ascii="Arial" w:cs="Arial" w:eastAsia="Arial" w:hAnsi="Arial"/>
          <w:sz w:val="14"/>
          <w:szCs w:val="14"/>
          <w:color w:val="auto"/>
        </w:rPr>
      </w:pPr>
    </w:p>
    <w:p>
      <w:pPr>
        <w:jc w:val="both"/>
        <w:ind w:left="180" w:hanging="172"/>
        <w:spacing w:after="0" w:line="254" w:lineRule="auto"/>
        <w:tabs>
          <w:tab w:leader="none" w:pos="178"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better reflect the converged and integrated nature of its business and operations, in the fourth quarter of 2025, Charter revised its customer relationship statistics to include all mobile customers, including mobile-only customers, and added information on total connectivity customers, which represent all customers receiving Charter Internet and/or mobile connectivity services.</w:t>
      </w:r>
    </w:p>
    <w:p>
      <w:pPr>
        <w:spacing w:after="0" w:line="1" w:lineRule="exact"/>
        <w:rPr>
          <w:rFonts w:ascii="Arial" w:cs="Arial" w:eastAsia="Arial" w:hAnsi="Arial"/>
          <w:sz w:val="14"/>
          <w:szCs w:val="14"/>
          <w:color w:val="auto"/>
        </w:rPr>
      </w:pPr>
    </w:p>
    <w:p>
      <w:pPr>
        <w:ind w:left="180" w:right="20" w:hanging="172"/>
        <w:spacing w:after="0" w:line="284" w:lineRule="auto"/>
        <w:tabs>
          <w:tab w:leader="none" w:pos="178"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Key Operating Results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Approximate as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48"/>
              <w:spacing w:after="0" w:line="198" w:lineRule="exact"/>
              <w:rPr>
                <w:sz w:val="20"/>
                <w:szCs w:val="20"/>
                <w:color w:val="auto"/>
              </w:rPr>
            </w:pPr>
            <w:r>
              <w:rPr>
                <w:rFonts w:ascii="Arial" w:cs="Arial" w:eastAsia="Arial" w:hAnsi="Arial"/>
                <w:sz w:val="14"/>
                <w:szCs w:val="14"/>
                <w:b w:val="1"/>
                <w:bCs w:val="1"/>
                <w:color w:val="auto"/>
              </w:rPr>
              <w:t xml:space="preserve">December 31, 2025 </w:t>
            </w:r>
            <w:r>
              <w:rPr>
                <w:rFonts w:ascii="Arial" w:cs="Arial" w:eastAsia="Arial" w:hAnsi="Arial"/>
                <w:sz w:val="18"/>
                <w:szCs w:val="18"/>
                <w:b w:val="1"/>
                <w:bCs w:val="1"/>
                <w:color w:val="auto"/>
                <w:vertAlign w:val="superscript"/>
              </w:rPr>
              <w:t>(d)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48"/>
              <w:spacing w:after="0" w:line="198" w:lineRule="exact"/>
              <w:rPr>
                <w:sz w:val="20"/>
                <w:szCs w:val="20"/>
                <w:color w:val="auto"/>
              </w:rPr>
            </w:pPr>
            <w:r>
              <w:rPr>
                <w:rFonts w:ascii="Arial" w:cs="Arial" w:eastAsia="Arial" w:hAnsi="Arial"/>
                <w:sz w:val="14"/>
                <w:szCs w:val="14"/>
                <w:b w:val="1"/>
                <w:bCs w:val="1"/>
                <w:color w:val="auto"/>
              </w:rPr>
              <w:t xml:space="preserve">December 31, 2024 </w:t>
            </w:r>
            <w:r>
              <w:rPr>
                <w:rFonts w:ascii="Arial" w:cs="Arial" w:eastAsia="Arial" w:hAnsi="Arial"/>
                <w:sz w:val="18"/>
                <w:szCs w:val="18"/>
                <w:b w:val="1"/>
                <w:bCs w:val="1"/>
                <w:color w:val="auto"/>
                <w:vertAlign w:val="superscript"/>
              </w:rPr>
              <w:t>(d)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Y/Y Change</w:t>
            </w:r>
          </w:p>
        </w:tc>
        <w:tc>
          <w:tcPr>
            <w:tcW w:w="0" w:type="dxa"/>
            <w:vAlign w:val="bottom"/>
          </w:tcPr>
          <w:p>
            <w:pPr>
              <w:spacing w:after="0"/>
              <w:rPr>
                <w:sz w:val="1"/>
                <w:szCs w:val="1"/>
                <w:color w:val="auto"/>
              </w:rPr>
            </w:pPr>
          </w:p>
        </w:tc>
      </w:tr>
      <w:tr>
        <w:trPr>
          <w:trHeight w:val="181"/>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Footprint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58,399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56,861</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99"/>
        </w:trPr>
        <w:tc>
          <w:tcPr>
            <w:tcW w:w="5540" w:type="dxa"/>
            <w:vAlign w:val="bottom"/>
            <w:gridSpan w:val="2"/>
          </w:tcPr>
          <w:p>
            <w:pPr>
              <w:ind w:left="180"/>
              <w:spacing w:after="0" w:line="199" w:lineRule="exact"/>
              <w:rPr>
                <w:sz w:val="20"/>
                <w:szCs w:val="20"/>
                <w:color w:val="auto"/>
              </w:rPr>
            </w:pPr>
            <w:r>
              <w:rPr>
                <w:rFonts w:ascii="Arial" w:cs="Arial" w:eastAsia="Arial" w:hAnsi="Arial"/>
                <w:sz w:val="14"/>
                <w:szCs w:val="14"/>
                <w:color w:val="auto"/>
              </w:rPr>
              <w:t xml:space="preserve">Estimated Passings </w:t>
            </w:r>
            <w:r>
              <w:rPr>
                <w:rFonts w:ascii="Arial" w:cs="Arial" w:eastAsia="Arial" w:hAnsi="Arial"/>
                <w:sz w:val="18"/>
                <w:szCs w:val="18"/>
                <w:color w:val="auto"/>
                <w:vertAlign w:val="superscript"/>
              </w:rPr>
              <w:t>(e)</w:t>
            </w: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b w:val="1"/>
                <w:bCs w:val="1"/>
                <w:color w:val="auto"/>
              </w:rPr>
              <w:t xml:space="preserve">Customer Relationships </w:t>
            </w:r>
            <w:r>
              <w:rPr>
                <w:rFonts w:ascii="Arial" w:cs="Arial" w:eastAsia="Arial" w:hAnsi="Arial"/>
                <w:sz w:val="18"/>
                <w:szCs w:val="18"/>
                <w:b w:val="1"/>
                <w:bCs w:val="1"/>
                <w:color w:val="auto"/>
                <w:vertAlign w:val="superscript"/>
              </w:rPr>
              <w:t>(c) (f)</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29,609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29,964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8"/>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Customer Relationships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31,846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32,214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Customer Relationships Quarterly Net Additions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92"/>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 xml:space="preserve">Total Customer Relationship Penetration of Estimated Passings </w:t>
            </w:r>
            <w:r>
              <w:rPr>
                <w:rFonts w:ascii="Arial" w:cs="Arial" w:eastAsia="Arial" w:hAnsi="Arial"/>
                <w:sz w:val="18"/>
                <w:szCs w:val="18"/>
                <w:color w:val="auto"/>
                <w:vertAlign w:val="superscript"/>
              </w:rPr>
              <w:t>(g)</w:t>
            </w: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54.5 %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56.7 %</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 ppts</w:t>
            </w:r>
          </w:p>
        </w:tc>
        <w:tc>
          <w:tcPr>
            <w:tcW w:w="0" w:type="dxa"/>
            <w:vAlign w:val="bottom"/>
          </w:tcPr>
          <w:p>
            <w:pPr>
              <w:spacing w:after="0"/>
              <w:rPr>
                <w:sz w:val="1"/>
                <w:szCs w:val="1"/>
                <w:color w:val="auto"/>
              </w:rPr>
            </w:pPr>
          </w:p>
        </w:tc>
      </w:tr>
      <w:tr>
        <w:trPr>
          <w:trHeight w:val="209"/>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 xml:space="preserve">Monthly Residential Revenue per Residential Customer </w:t>
            </w:r>
            <w:r>
              <w:rPr>
                <w:rFonts w:ascii="Arial" w:cs="Arial" w:eastAsia="Arial" w:hAnsi="Arial"/>
                <w:sz w:val="18"/>
                <w:szCs w:val="18"/>
                <w:color w:val="auto"/>
                <w:vertAlign w:val="superscript"/>
              </w:rPr>
              <w:t>(h)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117.19</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118.65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5540" w:type="dxa"/>
            <w:vAlign w:val="bottom"/>
            <w:gridSpan w:val="2"/>
          </w:tcPr>
          <w:p>
            <w:pPr>
              <w:ind w:left="180"/>
              <w:spacing w:after="0" w:line="202" w:lineRule="exact"/>
              <w:rPr>
                <w:sz w:val="20"/>
                <w:szCs w:val="20"/>
                <w:color w:val="auto"/>
              </w:rPr>
            </w:pPr>
            <w:r>
              <w:rPr>
                <w:rFonts w:ascii="Arial" w:cs="Arial" w:eastAsia="Arial" w:hAnsi="Arial"/>
                <w:sz w:val="14"/>
                <w:szCs w:val="14"/>
                <w:color w:val="auto"/>
              </w:rPr>
              <w:t xml:space="preserve">Monthly Small Business Revenue per Small Business Customer </w:t>
            </w:r>
            <w:r>
              <w:rPr>
                <w:rFonts w:ascii="Arial" w:cs="Arial" w:eastAsia="Arial" w:hAnsi="Arial"/>
                <w:sz w:val="18"/>
                <w:szCs w:val="18"/>
                <w:color w:val="auto"/>
                <w:vertAlign w:val="superscript"/>
              </w:rPr>
              <w:t>(i)</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159.85</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160.88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1"/>
        </w:trPr>
        <w:tc>
          <w:tcPr>
            <w:tcW w:w="51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b w:val="1"/>
                <w:bCs w:val="1"/>
                <w:color w:val="auto"/>
              </w:rPr>
              <w:t xml:space="preserve">Residential Customer Relationships Penetration </w:t>
            </w:r>
            <w:r>
              <w:rPr>
                <w:rFonts w:ascii="Arial" w:cs="Arial" w:eastAsia="Arial" w:hAnsi="Arial"/>
                <w:sz w:val="18"/>
                <w:szCs w:val="18"/>
                <w:b w:val="1"/>
                <w:bCs w:val="1"/>
                <w:color w:val="auto"/>
                <w:vertAlign w:val="superscript"/>
              </w:rPr>
              <w:t>(c)</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4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 xml:space="preserve">One Product Penetration </w:t>
            </w:r>
            <w:r>
              <w:rPr>
                <w:rFonts w:ascii="Arial" w:cs="Arial" w:eastAsia="Arial" w:hAnsi="Arial"/>
                <w:sz w:val="18"/>
                <w:szCs w:val="18"/>
                <w:color w:val="auto"/>
                <w:vertAlign w:val="superscript"/>
              </w:rPr>
              <w:t>(j)</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48.0 %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48.8 %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(0.8) ppts</w:t>
            </w:r>
          </w:p>
        </w:tc>
        <w:tc>
          <w:tcPr>
            <w:tcW w:w="0" w:type="dxa"/>
            <w:vAlign w:val="bottom"/>
          </w:tcPr>
          <w:p>
            <w:pPr>
              <w:spacing w:after="0"/>
              <w:rPr>
                <w:sz w:val="1"/>
                <w:szCs w:val="1"/>
                <w:color w:val="auto"/>
              </w:rPr>
            </w:pPr>
          </w:p>
        </w:tc>
      </w:tr>
      <w:tr>
        <w:trPr>
          <w:trHeight w:val="203"/>
        </w:trPr>
        <w:tc>
          <w:tcPr>
            <w:tcW w:w="5540" w:type="dxa"/>
            <w:vAlign w:val="bottom"/>
            <w:gridSpan w:val="2"/>
          </w:tcPr>
          <w:p>
            <w:pPr>
              <w:ind w:left="180"/>
              <w:spacing w:after="0" w:line="202" w:lineRule="exact"/>
              <w:rPr>
                <w:sz w:val="20"/>
                <w:szCs w:val="20"/>
                <w:color w:val="auto"/>
              </w:rPr>
            </w:pPr>
            <w:r>
              <w:rPr>
                <w:rFonts w:ascii="Arial" w:cs="Arial" w:eastAsia="Arial" w:hAnsi="Arial"/>
                <w:sz w:val="14"/>
                <w:szCs w:val="14"/>
                <w:color w:val="auto"/>
              </w:rPr>
              <w:t xml:space="preserve">Two Product Penetration </w:t>
            </w:r>
            <w:r>
              <w:rPr>
                <w:rFonts w:ascii="Arial" w:cs="Arial" w:eastAsia="Arial" w:hAnsi="Arial"/>
                <w:sz w:val="18"/>
                <w:szCs w:val="18"/>
                <w:color w:val="auto"/>
                <w:vertAlign w:val="superscript"/>
              </w:rPr>
              <w:t>(j)</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33.1 %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 ppts</w:t>
            </w:r>
          </w:p>
        </w:tc>
        <w:tc>
          <w:tcPr>
            <w:tcW w:w="0" w:type="dxa"/>
            <w:vAlign w:val="bottom"/>
          </w:tcPr>
          <w:p>
            <w:pPr>
              <w:spacing w:after="0"/>
              <w:rPr>
                <w:sz w:val="1"/>
                <w:szCs w:val="1"/>
                <w:color w:val="auto"/>
              </w:rPr>
            </w:pPr>
          </w:p>
        </w:tc>
      </w:tr>
      <w:tr>
        <w:trPr>
          <w:trHeight w:val="203"/>
        </w:trPr>
        <w:tc>
          <w:tcPr>
            <w:tcW w:w="5540" w:type="dxa"/>
            <w:vAlign w:val="bottom"/>
            <w:gridSpan w:val="2"/>
          </w:tcPr>
          <w:p>
            <w:pPr>
              <w:ind w:left="180"/>
              <w:spacing w:after="0" w:line="202" w:lineRule="exact"/>
              <w:rPr>
                <w:sz w:val="20"/>
                <w:szCs w:val="20"/>
                <w:color w:val="auto"/>
              </w:rPr>
            </w:pPr>
            <w:r>
              <w:rPr>
                <w:rFonts w:ascii="Arial" w:cs="Arial" w:eastAsia="Arial" w:hAnsi="Arial"/>
                <w:sz w:val="14"/>
                <w:szCs w:val="14"/>
                <w:color w:val="auto"/>
              </w:rPr>
              <w:t xml:space="preserve">Three or More Product Penetration </w:t>
            </w:r>
            <w:r>
              <w:rPr>
                <w:rFonts w:ascii="Arial" w:cs="Arial" w:eastAsia="Arial" w:hAnsi="Arial"/>
                <w:sz w:val="18"/>
                <w:szCs w:val="18"/>
                <w:color w:val="auto"/>
                <w:vertAlign w:val="superscript"/>
              </w:rPr>
              <w:t>(j)</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 ppts</w:t>
            </w:r>
          </w:p>
        </w:tc>
        <w:tc>
          <w:tcPr>
            <w:tcW w:w="0" w:type="dxa"/>
            <w:vAlign w:val="bottom"/>
          </w:tcPr>
          <w:p>
            <w:pPr>
              <w:spacing w:after="0"/>
              <w:rPr>
                <w:sz w:val="1"/>
                <w:szCs w:val="1"/>
                <w:color w:val="auto"/>
              </w:rPr>
            </w:pPr>
          </w:p>
        </w:tc>
      </w:tr>
      <w:tr>
        <w:trPr>
          <w:trHeight w:val="201"/>
        </w:trPr>
        <w:tc>
          <w:tcPr>
            <w:tcW w:w="51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b w:val="1"/>
                <w:bCs w:val="1"/>
                <w:color w:val="auto"/>
              </w:rPr>
              <w:t xml:space="preserve">Connectivity </w:t>
            </w:r>
            <w:r>
              <w:rPr>
                <w:rFonts w:ascii="Arial" w:cs="Arial" w:eastAsia="Arial" w:hAnsi="Arial"/>
                <w:sz w:val="18"/>
                <w:szCs w:val="18"/>
                <w:b w:val="1"/>
                <w:bCs w:val="1"/>
                <w:color w:val="auto"/>
                <w:vertAlign w:val="superscript"/>
              </w:rPr>
              <w:t>(c)</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28,563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28,763</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8"/>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Connectivity Customers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30,640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30,845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3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Pr>
          <w:p>
            <w:pPr>
              <w:spacing w:after="0"/>
              <w:rPr>
                <w:sz w:val="17"/>
                <w:szCs w:val="17"/>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Connectivity Quarterly Net Additions</w:t>
            </w:r>
          </w:p>
        </w:tc>
        <w:tc>
          <w:tcPr>
            <w:tcW w:w="2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Internet</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27,641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28,034</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 xml:space="preserve">Small Business </w:t>
            </w:r>
            <w:r>
              <w:rPr>
                <w:rFonts w:ascii="Arial" w:cs="Arial" w:eastAsia="Arial" w:hAnsi="Arial"/>
                <w:sz w:val="18"/>
                <w:szCs w:val="18"/>
                <w:color w:val="auto"/>
                <w:vertAlign w:val="superscript"/>
              </w:rPr>
              <w:t>(c)</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2,049</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Internet Customers</w:t>
            </w: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29,680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30,083</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3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0"/>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 xml:space="preserve">Small Business </w:t>
            </w:r>
            <w:r>
              <w:rPr>
                <w:rFonts w:ascii="Arial" w:cs="Arial" w:eastAsia="Arial" w:hAnsi="Arial"/>
                <w:sz w:val="18"/>
                <w:szCs w:val="18"/>
                <w:color w:val="auto"/>
                <w:vertAlign w:val="superscript"/>
              </w:rPr>
              <w:t>(c)</w:t>
            </w:r>
          </w:p>
        </w:tc>
        <w:tc>
          <w:tcPr>
            <w:tcW w:w="22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Internet Quarterly Net Additions</w:t>
            </w:r>
          </w:p>
        </w:tc>
        <w:tc>
          <w:tcPr>
            <w:tcW w:w="22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(177)</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Mobile Lines </w:t>
            </w:r>
            <w:r>
              <w:rPr>
                <w:rFonts w:ascii="Arial" w:cs="Arial" w:eastAsia="Arial" w:hAnsi="Arial"/>
                <w:sz w:val="18"/>
                <w:szCs w:val="18"/>
                <w:b w:val="1"/>
                <w:bCs w:val="1"/>
                <w:color w:val="auto"/>
                <w:vertAlign w:val="superscript"/>
              </w:rPr>
              <w:t>(c) (k)</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11,370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9,543</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188"/>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25.7 %</w:t>
            </w:r>
          </w:p>
        </w:tc>
        <w:tc>
          <w:tcPr>
            <w:tcW w:w="0" w:type="dxa"/>
            <w:vAlign w:val="bottom"/>
          </w:tcPr>
          <w:p>
            <w:pPr>
              <w:spacing w:after="0"/>
              <w:rPr>
                <w:sz w:val="1"/>
                <w:szCs w:val="1"/>
                <w:color w:val="auto"/>
              </w:rPr>
            </w:pPr>
          </w:p>
        </w:tc>
      </w:tr>
      <w:tr>
        <w:trPr>
          <w:trHeight w:val="198"/>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Mobile Lines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9,858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23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20"/>
                <w:szCs w:val="20"/>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504</w:t>
            </w: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Mobile Lines Quarterly Net Additions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522</w:t>
            </w: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Video</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12,072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12,327</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565</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8"/>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Video Customers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12,605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12,892</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20"/>
                <w:szCs w:val="20"/>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Video Quarterly Net Additions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Voice</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4,832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5,636</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9"/>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5540" w:type="dxa"/>
            <w:vAlign w:val="bottom"/>
            <w:gridSpan w:val="2"/>
          </w:tcPr>
          <w:p>
            <w:pPr>
              <w:ind w:left="220"/>
              <w:spacing w:after="0"/>
              <w:rPr>
                <w:sz w:val="20"/>
                <w:szCs w:val="20"/>
                <w:color w:val="auto"/>
              </w:rPr>
            </w:pPr>
            <w:r>
              <w:rPr>
                <w:rFonts w:ascii="Arial" w:cs="Arial" w:eastAsia="Arial" w:hAnsi="Arial"/>
                <w:sz w:val="14"/>
                <w:szCs w:val="14"/>
                <w:color w:val="auto"/>
              </w:rPr>
              <w:t>Total Voice Customers</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6,046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6,884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9"/>
        </w:trPr>
        <w:tc>
          <w:tcPr>
            <w:tcW w:w="51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Mid-Market &amp; Large Business </w:t>
            </w:r>
            <w:r>
              <w:rPr>
                <w:rFonts w:ascii="Arial" w:cs="Arial" w:eastAsia="Arial" w:hAnsi="Arial"/>
                <w:sz w:val="18"/>
                <w:szCs w:val="18"/>
                <w:b w:val="1"/>
                <w:bCs w:val="1"/>
                <w:color w:val="auto"/>
                <w:vertAlign w:val="superscript"/>
              </w:rPr>
              <w:t>(c) (l)</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restart"/>
          </w:tcPr>
          <w:p>
            <w:pPr>
              <w:jc w:val="right"/>
              <w:ind w:right="108"/>
              <w:spacing w:after="0"/>
              <w:rPr>
                <w:sz w:val="20"/>
                <w:szCs w:val="20"/>
                <w:color w:val="auto"/>
              </w:rPr>
            </w:pPr>
            <w:r>
              <w:rPr>
                <w:rFonts w:ascii="Arial" w:cs="Arial" w:eastAsia="Arial" w:hAnsi="Arial"/>
                <w:sz w:val="14"/>
                <w:szCs w:val="14"/>
                <w:color w:val="auto"/>
              </w:rPr>
              <w:t>340</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88"/>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Mid-Market &amp; Large Business Primary Service Units ("PSUs")</w:t>
            </w:r>
          </w:p>
        </w:tc>
        <w:tc>
          <w:tcPr>
            <w:tcW w:w="2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180"/>
              <w:spacing w:after="0"/>
              <w:rPr>
                <w:sz w:val="20"/>
                <w:szCs w:val="20"/>
                <w:color w:val="auto"/>
              </w:rPr>
            </w:pPr>
            <w:r>
              <w:rPr>
                <w:rFonts w:ascii="Arial" w:cs="Arial" w:eastAsia="Arial" w:hAnsi="Arial"/>
                <w:sz w:val="14"/>
                <w:szCs w:val="14"/>
                <w:color w:val="auto"/>
              </w:rPr>
              <w:t>Mid-Market &amp; Large Business Quarterly Net Additions</w:t>
            </w:r>
          </w:p>
        </w:tc>
        <w:tc>
          <w:tcPr>
            <w:tcW w:w="220" w:type="dxa"/>
            <w:vAlign w:val="bottom"/>
          </w:tcPr>
          <w:p>
            <w:pPr>
              <w:spacing w:after="0"/>
              <w:rPr>
                <w:sz w:val="17"/>
                <w:szCs w:val="17"/>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360" w:type="dxa"/>
            <w:vAlign w:val="bottom"/>
            <w:gridSpan w:val="2"/>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In thousands, except per customer and penetration data. See footnotes to unaudited summary of operating statistics on page 7 of the addendum of this news release. The footnotes contain important disclosures regarding the definitions used for these operating statistics. All percentages are calculated using whole numbers. Minor differences may exist due to rounding.</w:t>
      </w:r>
    </w:p>
    <w:p>
      <w:pPr>
        <w:sectPr>
          <w:pgSz w:w="11900" w:h="16838" w:orient="portrait"/>
          <w:cols w:equalWidth="0" w:num="1">
            <w:col w:w="11240"/>
          </w:cols>
          <w:pgMar w:left="320" w:top="9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933" w:right="339" w:bottom="1440" w:gutter="0" w:footer="0" w:header="0"/>
          <w:type w:val="continuous"/>
        </w:sectPr>
      </w:pPr>
    </w:p>
    <w:bookmarkStart w:id="6" w:name="page7"/>
    <w:bookmarkEnd w:id="6"/>
    <w:p>
      <w:pPr>
        <w:jc w:val="both"/>
        <w:ind w:firstLine="648"/>
        <w:spacing w:after="0" w:line="230" w:lineRule="auto"/>
        <w:rPr>
          <w:sz w:val="20"/>
          <w:szCs w:val="20"/>
          <w:color w:val="auto"/>
        </w:rPr>
      </w:pPr>
      <w:r>
        <w:rPr>
          <w:rFonts w:ascii="Arial" w:cs="Arial" w:eastAsia="Arial" w:hAnsi="Arial"/>
          <w:sz w:val="20"/>
          <w:szCs w:val="20"/>
          <w:color w:val="auto"/>
        </w:rPr>
        <w:t xml:space="preserve">Fourth quarter total Internet customers decreased by 119,000, compared to a decline of 177,000 during the fourth quarter of 2024, which included the impact of disconnects related to the end of the FCC's Affordable Connectivity Program in the second quarter of 2024. </w:t>
      </w:r>
      <w:r>
        <w:rPr>
          <w:rFonts w:ascii="Arial" w:cs="Arial" w:eastAsia="Arial" w:hAnsi="Arial"/>
          <w:sz w:val="20"/>
          <w:szCs w:val="20"/>
          <w:i w:val="1"/>
          <w:iCs w:val="1"/>
          <w:color w:val="auto"/>
        </w:rPr>
        <w:t>Spectrum Internet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delivers the fastest Internet speeds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 the nation. Spectrum is evolving its connectivity network to offer symmetrical and multi-gigabit Internet speeds across its entire footprint and has launched symmetrical Internet service in several markets. Unlike competitors, Spectrum upgrades its network to serve all of its passings and can do so at a much lower cost. Spectrum expects to complete its network evolution initiative in 2027. Spectrum Advanced WiFi provides customers an optimized home network while providing greater control of connected devices with enhanced security and privacy. In early 2026, Spectrum will launch its </w:t>
      </w:r>
      <w:r>
        <w:rPr>
          <w:rFonts w:ascii="Arial" w:cs="Arial" w:eastAsia="Arial" w:hAnsi="Arial"/>
          <w:sz w:val="20"/>
          <w:szCs w:val="20"/>
          <w:i w:val="1"/>
          <w:iCs w:val="1"/>
          <w:color w:val="auto"/>
        </w:rPr>
        <w:t>Invincible WiFi</w:t>
      </w:r>
      <w:r>
        <w:rPr>
          <w:rFonts w:ascii="Arial" w:cs="Arial" w:eastAsia="Arial" w:hAnsi="Arial"/>
          <w:sz w:val="9"/>
          <w:szCs w:val="9"/>
          <w:i w:val="1"/>
          <w:iCs w:val="1"/>
          <w:color w:val="auto"/>
        </w:rPr>
        <w:t>TM</w:t>
      </w:r>
      <w:r>
        <w:rPr>
          <w:rFonts w:ascii="Arial" w:cs="Arial" w:eastAsia="Arial" w:hAnsi="Arial"/>
          <w:sz w:val="20"/>
          <w:szCs w:val="20"/>
          <w:color w:val="auto"/>
        </w:rPr>
        <w:t xml:space="preserve"> product, a tri-band advanced WiFi 7 router that integrates 5G cellular and battery backup to keep customers seamlessly and fully connected during service disruption or a power outage.</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During the fourth quarter of 2025, Charter added 428,000 total mobile lines, compared to growth of 522,000 during the fourth quarter of 2024. </w:t>
      </w:r>
      <w:r>
        <w:rPr>
          <w:rFonts w:ascii="Arial" w:cs="Arial" w:eastAsia="Arial" w:hAnsi="Arial"/>
          <w:sz w:val="20"/>
          <w:szCs w:val="20"/>
          <w:i w:val="1"/>
          <w:iCs w:val="1"/>
          <w:color w:val="auto"/>
        </w:rPr>
        <w:t>Spectrum Mobile</w:t>
      </w:r>
      <w:r>
        <w:rPr>
          <w:rFonts w:ascii="Arial" w:cs="Arial" w:eastAsia="Arial" w:hAnsi="Arial"/>
          <w:sz w:val="9"/>
          <w:szCs w:val="9"/>
          <w:color w:val="auto"/>
        </w:rPr>
        <w:t>TM</w:t>
      </w:r>
      <w:r>
        <w:rPr>
          <w:rFonts w:ascii="Arial" w:cs="Arial" w:eastAsia="Arial" w:hAnsi="Arial"/>
          <w:sz w:val="20"/>
          <w:szCs w:val="20"/>
          <w:color w:val="auto"/>
        </w:rPr>
        <w:t xml:space="preserve"> is available to all new and existing </w:t>
      </w:r>
      <w:r>
        <w:rPr>
          <w:rFonts w:ascii="Arial" w:cs="Arial" w:eastAsia="Arial" w:hAnsi="Arial"/>
          <w:sz w:val="20"/>
          <w:szCs w:val="20"/>
          <w:i w:val="1"/>
          <w:iCs w:val="1"/>
          <w:color w:val="auto"/>
        </w:rPr>
        <w:t>Spectrum Internet</w:t>
      </w:r>
      <w:r>
        <w:rPr>
          <w:rFonts w:ascii="Arial" w:cs="Arial" w:eastAsia="Arial" w:hAnsi="Arial"/>
          <w:sz w:val="20"/>
          <w:szCs w:val="20"/>
          <w:color w:val="auto"/>
        </w:rPr>
        <w:t xml:space="preserve"> customers and offers the fastest overall speeds,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with plans that include 5G access, do not require contracts and include taxes and fees in the price. </w:t>
      </w:r>
      <w:r>
        <w:rPr>
          <w:rFonts w:ascii="Arial" w:cs="Arial" w:eastAsia="Arial" w:hAnsi="Arial"/>
          <w:sz w:val="20"/>
          <w:szCs w:val="20"/>
          <w:i w:val="1"/>
          <w:iCs w:val="1"/>
          <w:color w:val="auto"/>
        </w:rPr>
        <w:t>Spectrum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Mobile </w:t>
      </w:r>
      <w:r>
        <w:rPr>
          <w:rFonts w:ascii="Arial" w:cs="Arial" w:eastAsia="Arial" w:hAnsi="Arial"/>
          <w:sz w:val="20"/>
          <w:szCs w:val="20"/>
          <w:color w:val="auto"/>
        </w:rPr>
        <w:t>is central to Charter's converged network strategy to provide customers a differentiated connectivity experience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highly competitive, simple data plans and pricing.</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Total video customers increased by 44,000 in the fourth quarter of 2025, compared to a decline of 123,000 in the fourth quarter of 2024, with the improvement driven by new and simplified pricing and packaging launched in September 2024 and benefits from the inclusion of programmers' streaming applications in Spectrum's expanded basic packages. As of December 31, 2025, Charter had 12.6 million total video customers.</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Spectrum TV Select video customers now receive up to approximately $117 per month (soon to be approximately $129 per month) of programmers' streaming application retail value at no extra cost, including the ad-supported versions of Disney+, Hulu, ESPN Unlimited, HBO Max, Paramount+, Peacock, AMC+, ViX, Tennis Channel and Fox One, with Discovery+ and BET+ launching soon. This programmer streaming application inclusion is part of Charter's broader video evolution strategy to provide flexible packages with enhanced value, whether through full packages with seamless entertainment, smaller video packages or a suite of a-la-carte programmers' streaming application options for broadband customers. In October 2025, Spectrum unveiled the Spectrum App Store, an innovative digital marketplace where Spectrum TV customers can activate, manage and upgrade the streaming apps included with their video plans. The Spectrum App Store also allows Spectrum customers without a traditional TV package to purchase and manage streaming apps à la carte.</w:t>
      </w:r>
    </w:p>
    <w:p>
      <w:pPr>
        <w:spacing w:after="0" w:line="22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During the fourth quarter of 2025, total wireline voice customers declined by 140,000, compared to a decline of 274,000 in the fourth quarter of 2024. As of December 31, 2025, Charter had 6.0 million total wireline voice customers.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Charter continues to work with federal, state and local governments to bring </w:t>
      </w:r>
      <w:r>
        <w:rPr>
          <w:rFonts w:ascii="Arial" w:cs="Arial" w:eastAsia="Arial" w:hAnsi="Arial"/>
          <w:sz w:val="20"/>
          <w:szCs w:val="20"/>
          <w:i w:val="1"/>
          <w:iCs w:val="1"/>
          <w:color w:val="auto"/>
        </w:rPr>
        <w:t>Spectrum Internet</w:t>
      </w:r>
      <w:r>
        <w:rPr>
          <w:rFonts w:ascii="Arial" w:cs="Arial" w:eastAsia="Arial" w:hAnsi="Arial"/>
          <w:sz w:val="20"/>
          <w:szCs w:val="20"/>
          <w:color w:val="auto"/>
        </w:rPr>
        <w:t xml:space="preserve"> to unserved and underserved communities. During the fourth quarter of 2025, Charter activated 147,000 subsidized rural passings and 483,000 in 2025. Within Charter's subsidized rural footprint, total customer relationships increased by 46,000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hanging="172"/>
        <w:spacing w:after="0" w:line="272" w:lineRule="auto"/>
        <w:tabs>
          <w:tab w:leader="none" w:pos="178" w:val="left"/>
        </w:tabs>
        <w:numPr>
          <w:ilvl w:val="0"/>
          <w:numId w:val="5"/>
        </w:numPr>
        <w:rPr>
          <w:rFonts w:ascii="Arial" w:cs="Arial" w:eastAsia="Arial" w:hAnsi="Arial"/>
          <w:sz w:val="14"/>
          <w:szCs w:val="14"/>
          <w:color w:val="auto"/>
        </w:rPr>
      </w:pPr>
      <w:r>
        <w:rPr>
          <w:rFonts w:ascii="Arial" w:cs="Arial" w:eastAsia="Arial" w:hAnsi="Arial"/>
          <w:sz w:val="14"/>
          <w:szCs w:val="14"/>
          <w:color w:val="auto"/>
        </w:rPr>
        <w:t>Fastest Speeds claim based on Broadband Download Speed among the top 5 national providers in Opensignal USA: Fixed Broadband Experience Report – May 2025. Based on Opensignal independent analysis of mean download speed. © 2025 Opensignal Limited.</w:t>
      </w:r>
    </w:p>
    <w:p>
      <w:pPr>
        <w:ind w:left="180" w:hanging="172"/>
        <w:spacing w:after="0" w:line="284" w:lineRule="auto"/>
        <w:tabs>
          <w:tab w:leader="none" w:pos="178" w:val="left"/>
        </w:tabs>
        <w:numPr>
          <w:ilvl w:val="0"/>
          <w:numId w:val="5"/>
        </w:numPr>
        <w:rPr>
          <w:rFonts w:ascii="Arial" w:cs="Arial" w:eastAsia="Arial" w:hAnsi="Arial"/>
          <w:sz w:val="14"/>
          <w:szCs w:val="14"/>
          <w:color w:val="auto"/>
        </w:rPr>
      </w:pPr>
      <w:r>
        <w:rPr>
          <w:rFonts w:ascii="Arial" w:cs="Arial" w:eastAsia="Arial" w:hAnsi="Arial"/>
          <w:sz w:val="14"/>
          <w:szCs w:val="14"/>
          <w:color w:val="auto"/>
        </w:rPr>
        <w:t>Fastest Wireless Speeds based on combined mean download speed results for 4G, 5G and Wi-Fi across converged users on the top 5 national providers in November 2025 report. © 2025 Opensignal Limited.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2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Fourth Quarter Financial Results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7"/>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Three Months Ended December 31,</w:t>
            </w:r>
          </w:p>
        </w:tc>
      </w:tr>
      <w:tr>
        <w:trPr>
          <w:trHeight w:val="195"/>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177"/>
        </w:trPr>
        <w:tc>
          <w:tcPr>
            <w:tcW w:w="7480" w:type="dxa"/>
            <w:vAlign w:val="bottom"/>
          </w:tcPr>
          <w:p>
            <w:pPr>
              <w:ind w:left="4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7480" w:type="dxa"/>
            <w:vAlign w:val="bottom"/>
          </w:tcPr>
          <w:p>
            <w:pPr>
              <w:ind w:left="280"/>
              <w:spacing w:after="0"/>
              <w:rPr>
                <w:sz w:val="20"/>
                <w:szCs w:val="20"/>
                <w:color w:val="auto"/>
              </w:rPr>
            </w:pPr>
            <w:r>
              <w:rPr>
                <w:rFonts w:ascii="Arial" w:cs="Arial" w:eastAsia="Arial" w:hAnsi="Arial"/>
                <w:sz w:val="14"/>
                <w:szCs w:val="14"/>
                <w:color w:val="auto"/>
              </w:rPr>
              <w:t>Internet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5,856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0.7 %</w:t>
            </w:r>
          </w:p>
        </w:tc>
      </w:tr>
      <w:tr>
        <w:trPr>
          <w:trHeight w:val="204"/>
        </w:trPr>
        <w:tc>
          <w:tcPr>
            <w:tcW w:w="7480" w:type="dxa"/>
            <w:vAlign w:val="bottom"/>
          </w:tcPr>
          <w:p>
            <w:pPr>
              <w:ind w:left="280"/>
              <w:spacing w:after="0"/>
              <w:rPr>
                <w:sz w:val="20"/>
                <w:szCs w:val="20"/>
                <w:color w:val="auto"/>
              </w:rPr>
            </w:pPr>
            <w:r>
              <w:rPr>
                <w:rFonts w:ascii="Arial" w:cs="Arial" w:eastAsia="Arial" w:hAnsi="Arial"/>
                <w:sz w:val="14"/>
                <w:szCs w:val="14"/>
                <w:color w:val="auto"/>
              </w:rPr>
              <w:t>Mobile service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13.1 %</w:t>
            </w:r>
          </w:p>
        </w:tc>
      </w:tr>
      <w:tr>
        <w:trPr>
          <w:trHeight w:val="194"/>
        </w:trPr>
        <w:tc>
          <w:tcPr>
            <w:tcW w:w="7480" w:type="dxa"/>
            <w:vAlign w:val="bottom"/>
          </w:tcPr>
          <w:p>
            <w:pPr>
              <w:ind w:left="180"/>
              <w:spacing w:after="0"/>
              <w:rPr>
                <w:sz w:val="20"/>
                <w:szCs w:val="20"/>
                <w:color w:val="auto"/>
              </w:rPr>
            </w:pPr>
            <w:r>
              <w:rPr>
                <w:rFonts w:ascii="Arial" w:cs="Arial" w:eastAsia="Arial" w:hAnsi="Arial"/>
                <w:sz w:val="14"/>
                <w:szCs w:val="14"/>
                <w:color w:val="auto"/>
              </w:rPr>
              <w:t>Connectivity</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6,868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6,716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2.3 %</w:t>
            </w:r>
          </w:p>
        </w:tc>
      </w:tr>
      <w:tr>
        <w:trPr>
          <w:trHeight w:val="203"/>
        </w:trPr>
        <w:tc>
          <w:tcPr>
            <w:tcW w:w="7480" w:type="dxa"/>
            <w:vAlign w:val="bottom"/>
          </w:tcPr>
          <w:p>
            <w:pPr>
              <w:ind w:left="180"/>
              <w:spacing w:after="0"/>
              <w:rPr>
                <w:sz w:val="20"/>
                <w:szCs w:val="20"/>
                <w:color w:val="auto"/>
              </w:rPr>
            </w:pPr>
            <w:r>
              <w:rPr>
                <w:rFonts w:ascii="Arial" w:cs="Arial" w:eastAsia="Arial" w:hAnsi="Arial"/>
                <w:sz w:val="14"/>
                <w:szCs w:val="14"/>
                <w:color w:val="auto"/>
              </w:rPr>
              <w:t>Video</w:t>
            </w:r>
            <w:r>
              <w:rPr>
                <w:rFonts w:ascii="Arial" w:cs="Arial" w:eastAsia="Arial" w:hAnsi="Arial"/>
                <w:sz w:val="9"/>
                <w:szCs w:val="9"/>
                <w:color w:val="auto"/>
              </w:rPr>
              <w:t>1</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3,616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(10.3)%</w:t>
            </w:r>
          </w:p>
        </w:tc>
      </w:tr>
      <w:tr>
        <w:trPr>
          <w:trHeight w:val="204"/>
        </w:trPr>
        <w:tc>
          <w:tcPr>
            <w:tcW w:w="7480" w:type="dxa"/>
            <w:vAlign w:val="bottom"/>
          </w:tcPr>
          <w:p>
            <w:pPr>
              <w:ind w:left="180"/>
              <w:spacing w:after="0"/>
              <w:rPr>
                <w:sz w:val="20"/>
                <w:szCs w:val="20"/>
                <w:color w:val="auto"/>
              </w:rPr>
            </w:pPr>
            <w:r>
              <w:rPr>
                <w:rFonts w:ascii="Arial" w:cs="Arial" w:eastAsia="Arial" w:hAnsi="Arial"/>
                <w:sz w:val="14"/>
                <w:szCs w:val="14"/>
                <w:color w:val="auto"/>
              </w:rPr>
              <w:t>Voice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(10.3)%</w:t>
            </w:r>
          </w:p>
        </w:tc>
      </w:tr>
      <w:tr>
        <w:trPr>
          <w:trHeight w:val="194"/>
        </w:trPr>
        <w:tc>
          <w:tcPr>
            <w:tcW w:w="7480" w:type="dxa"/>
            <w:vAlign w:val="bottom"/>
          </w:tcPr>
          <w:p>
            <w:pPr>
              <w:ind w:left="80"/>
              <w:spacing w:after="0"/>
              <w:rPr>
                <w:sz w:val="20"/>
                <w:szCs w:val="20"/>
                <w:color w:val="auto"/>
              </w:rPr>
            </w:pPr>
            <w:r>
              <w:rPr>
                <w:rFonts w:ascii="Arial" w:cs="Arial" w:eastAsia="Arial" w:hAnsi="Arial"/>
                <w:sz w:val="14"/>
                <w:szCs w:val="14"/>
                <w:color w:val="auto"/>
              </w:rPr>
              <w:t>Residential revenue</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10,685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480" w:type="dxa"/>
            <w:vAlign w:val="bottom"/>
          </w:tcPr>
          <w:p>
            <w:pPr>
              <w:ind w:left="180"/>
              <w:spacing w:after="0"/>
              <w:rPr>
                <w:sz w:val="20"/>
                <w:szCs w:val="20"/>
                <w:color w:val="auto"/>
              </w:rPr>
            </w:pPr>
            <w:r>
              <w:rPr>
                <w:rFonts w:ascii="Arial" w:cs="Arial" w:eastAsia="Arial" w:hAnsi="Arial"/>
                <w:sz w:val="14"/>
                <w:szCs w:val="14"/>
                <w:color w:val="auto"/>
              </w:rPr>
              <w:t>Small business</w:t>
            </w:r>
            <w:r>
              <w:rPr>
                <w:rFonts w:ascii="Arial" w:cs="Arial" w:eastAsia="Arial" w:hAnsi="Arial"/>
                <w:sz w:val="9"/>
                <w:szCs w:val="9"/>
                <w:color w:val="auto"/>
              </w:rPr>
              <w:t>1</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1,088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4"/>
        </w:trPr>
        <w:tc>
          <w:tcPr>
            <w:tcW w:w="7480" w:type="dxa"/>
            <w:vAlign w:val="bottom"/>
          </w:tcPr>
          <w:p>
            <w:pPr>
              <w:ind w:left="180"/>
              <w:spacing w:after="0"/>
              <w:rPr>
                <w:sz w:val="20"/>
                <w:szCs w:val="20"/>
                <w:color w:val="auto"/>
              </w:rPr>
            </w:pPr>
            <w:r>
              <w:rPr>
                <w:rFonts w:ascii="Arial" w:cs="Arial" w:eastAsia="Arial" w:hAnsi="Arial"/>
                <w:sz w:val="14"/>
                <w:szCs w:val="14"/>
                <w:color w:val="auto"/>
              </w:rPr>
              <w:t>Mid-market &amp; large business</w:t>
            </w:r>
            <w:r>
              <w:rPr>
                <w:rFonts w:ascii="Arial" w:cs="Arial" w:eastAsia="Arial" w:hAnsi="Arial"/>
                <w:sz w:val="9"/>
                <w:szCs w:val="9"/>
                <w:color w:val="auto"/>
              </w:rPr>
              <w:t>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2.6 %</w:t>
            </w:r>
          </w:p>
        </w:tc>
      </w:tr>
      <w:tr>
        <w:trPr>
          <w:trHeight w:val="195"/>
        </w:trPr>
        <w:tc>
          <w:tcPr>
            <w:tcW w:w="7480" w:type="dxa"/>
            <w:vAlign w:val="bottom"/>
          </w:tcPr>
          <w:p>
            <w:pPr>
              <w:ind w:left="80"/>
              <w:spacing w:after="0"/>
              <w:rPr>
                <w:sz w:val="20"/>
                <w:szCs w:val="20"/>
                <w:color w:val="auto"/>
              </w:rPr>
            </w:pPr>
            <w:r>
              <w:rPr>
                <w:rFonts w:ascii="Arial" w:cs="Arial" w:eastAsia="Arial" w:hAnsi="Arial"/>
                <w:sz w:val="14"/>
                <w:szCs w:val="14"/>
                <w:color w:val="auto"/>
              </w:rPr>
              <w:t>Commercial revenue</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1,817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0.3 %</w:t>
            </w:r>
          </w:p>
        </w:tc>
      </w:tr>
      <w:tr>
        <w:trPr>
          <w:trHeight w:val="203"/>
        </w:trPr>
        <w:tc>
          <w:tcPr>
            <w:tcW w:w="7480" w:type="dxa"/>
            <w:vAlign w:val="bottom"/>
          </w:tcPr>
          <w:p>
            <w:pPr>
              <w:ind w:left="80"/>
              <w:spacing w:after="0"/>
              <w:rPr>
                <w:sz w:val="20"/>
                <w:szCs w:val="20"/>
                <w:color w:val="auto"/>
              </w:rPr>
            </w:pPr>
            <w:r>
              <w:rPr>
                <w:rFonts w:ascii="Arial" w:cs="Arial" w:eastAsia="Arial" w:hAnsi="Arial"/>
                <w:sz w:val="14"/>
                <w:szCs w:val="14"/>
                <w:color w:val="auto"/>
              </w:rPr>
              <w:t>Advertising sales</w:t>
            </w: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540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(25.8)%</w:t>
            </w:r>
          </w:p>
        </w:tc>
      </w:tr>
      <w:tr>
        <w:trPr>
          <w:trHeight w:val="204"/>
        </w:trPr>
        <w:tc>
          <w:tcPr>
            <w:tcW w:w="7480" w:type="dxa"/>
            <w:vAlign w:val="bottom"/>
          </w:tcPr>
          <w:p>
            <w:pPr>
              <w:ind w:left="8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7.3 %</w:t>
            </w:r>
          </w:p>
        </w:tc>
      </w:tr>
      <w:tr>
        <w:trPr>
          <w:trHeight w:val="203"/>
        </w:trPr>
        <w:tc>
          <w:tcPr>
            <w:tcW w:w="748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13,926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9"/>
        </w:trPr>
        <w:tc>
          <w:tcPr>
            <w:tcW w:w="7480" w:type="dxa"/>
            <w:vAlign w:val="bottom"/>
          </w:tcPr>
          <w:p>
            <w:pPr>
              <w:ind w:left="40"/>
              <w:spacing w:after="0"/>
              <w:rPr>
                <w:sz w:val="20"/>
                <w:szCs w:val="20"/>
                <w:color w:val="auto"/>
              </w:rPr>
            </w:pPr>
            <w:r>
              <w:rPr>
                <w:rFonts w:ascii="Arial" w:cs="Arial" w:eastAsia="Arial" w:hAnsi="Arial"/>
                <w:sz w:val="14"/>
                <w:szCs w:val="14"/>
                <w:color w:val="auto"/>
              </w:rPr>
              <w:t>Net income attributable to Charter shareholders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1,466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(9.1)%</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Net income attributable to Charter shareholders margin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9.8 %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10.5 %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5,691</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5,760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Adjusted EBITDA margin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41.8 %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41.4 %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3,062</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8.9 %</w:t>
            </w:r>
          </w:p>
        </w:tc>
      </w:tr>
      <w:tr>
        <w:trPr>
          <w:trHeight w:val="351"/>
        </w:trPr>
        <w:tc>
          <w:tcPr>
            <w:tcW w:w="7480" w:type="dxa"/>
            <w:vAlign w:val="bottom"/>
          </w:tcPr>
          <w:p>
            <w:pPr>
              <w:ind w:left="40"/>
              <w:spacing w:after="0"/>
              <w:rPr>
                <w:sz w:val="20"/>
                <w:szCs w:val="20"/>
                <w:color w:val="auto"/>
              </w:rPr>
            </w:pPr>
            <w:r>
              <w:rPr>
                <w:rFonts w:ascii="Arial" w:cs="Arial" w:eastAsia="Arial" w:hAnsi="Arial"/>
                <w:sz w:val="14"/>
                <w:szCs w:val="14"/>
                <w:color w:val="auto"/>
              </w:rPr>
              <w:t>Net cash flows from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3,761</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3,460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8.7 %</w:t>
            </w:r>
          </w:p>
        </w:tc>
      </w:tr>
      <w:tr>
        <w:trPr>
          <w:trHeight w:val="203"/>
        </w:trPr>
        <w:tc>
          <w:tcPr>
            <w:tcW w:w="74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984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(21.4)%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using whole numbers. Minor differences may exist due to rounding.</w:t>
      </w:r>
    </w:p>
    <w:p>
      <w:pPr>
        <w:spacing w:after="0" w:line="258" w:lineRule="exact"/>
        <w:rPr>
          <w:sz w:val="20"/>
          <w:szCs w:val="20"/>
          <w:color w:val="auto"/>
        </w:rPr>
      </w:pPr>
    </w:p>
    <w:p>
      <w:pPr>
        <w:ind w:left="180" w:right="20" w:hanging="172"/>
        <w:spacing w:after="0" w:line="261" w:lineRule="auto"/>
        <w:tabs>
          <w:tab w:leader="none" w:pos="178"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revenue reclassifications were made for all periods presented to reflect changes in how we manage our business. The reclassifications did not result in any changes to total revenue for any period presented.</w:t>
      </w:r>
    </w:p>
    <w:p>
      <w:pPr>
        <w:spacing w:after="0" w:line="1" w:lineRule="exact"/>
        <w:rPr>
          <w:rFonts w:ascii="Arial" w:cs="Arial" w:eastAsia="Arial" w:hAnsi="Arial"/>
          <w:sz w:val="14"/>
          <w:szCs w:val="14"/>
          <w:color w:val="auto"/>
        </w:rPr>
      </w:pPr>
    </w:p>
    <w:p>
      <w:pPr>
        <w:ind w:left="180" w:right="20" w:hanging="172"/>
        <w:spacing w:after="0" w:line="284" w:lineRule="auto"/>
        <w:tabs>
          <w:tab w:leader="none" w:pos="178"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and free cash flow are non-GAAP measures defined in the “Use of Adjusted EBITDA and Free Cash Flow Information” section and are reconciled to net income attributable to Charter shareholders and net cash flows from operating activities, respectively, in the addendum of this news release.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Fourth quarter revenue decreased by 2.3% year-over-year to $13.6 billion, driven by lower residential video revenue and lower political advertising sales, partly offset by an increase in residential mobile service revenue, higher mobile equipment revenue, higher residential Internet revenue and $37 million of total customer credits related to hurricanes Helene and Milton in the prior year period.</w:t>
      </w:r>
    </w:p>
    <w:p>
      <w:pPr>
        <w:spacing w:after="0" w:line="21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Residential revenue totaled $ 10.4 billion in the fourth quarter, a decrease of 2.4% year-over-year, driven by a year-over-year decline in residential customers of 1.2% and a decrease in monthly residential revenue per residential customer of 1.2%.</w:t>
      </w:r>
    </w:p>
    <w:p>
      <w:pPr>
        <w:spacing w:after="0" w:line="1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Fourth quarter 2025 monthly residential revenue per residential customer totaled $117.19, a decrease of 1.2% compared to the prior year period. The decline was driven by a higher mix of lower priced video packages within Charter's video customer base, a decline in video customers during the last year, $165 million of costs allocated to programmer streaming applications and netted within video revenue versus $37 million in the prior year period, partly offset by promotional rate step-ups, rate adjustments and the growth of </w:t>
      </w:r>
      <w:r>
        <w:rPr>
          <w:rFonts w:ascii="Arial" w:cs="Arial" w:eastAsia="Arial" w:hAnsi="Arial"/>
          <w:sz w:val="20"/>
          <w:szCs w:val="20"/>
          <w:i w:val="1"/>
          <w:iCs w:val="1"/>
          <w:color w:val="auto"/>
        </w:rPr>
        <w:t>Spectrum Mobile.</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Internet revenue grew by 0.7% year-over-year to $5.9 billion, driven by promotional rate step-ups, rate adjustments and a favorable change in bundled revenue allocation year-over-year, partly offset by a decline in Internet customers year-over-year and a free months promotion for new customers offered by Spectrum early in the fourth quarter.</w:t>
      </w:r>
    </w:p>
    <w:p>
      <w:pPr>
        <w:sectPr>
          <w:pgSz w:w="11900" w:h="16838" w:orient="portrait"/>
          <w:cols w:equalWidth="0" w:num="1">
            <w:col w:w="11240"/>
          </w:cols>
          <w:pgMar w:left="320" w:top="928"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928" w:right="339" w:bottom="1440" w:gutter="0" w:footer="0" w:header="0"/>
          <w:type w:val="continuous"/>
        </w:sectPr>
      </w:pPr>
    </w:p>
    <w:bookmarkStart w:id="8" w:name="page9"/>
    <w:bookmarkEnd w:id="8"/>
    <w:p>
      <w:pPr>
        <w:jc w:val="both"/>
        <w:ind w:right="20" w:firstLine="648"/>
        <w:spacing w:after="0" w:line="286" w:lineRule="auto"/>
        <w:rPr>
          <w:sz w:val="20"/>
          <w:szCs w:val="20"/>
          <w:color w:val="auto"/>
        </w:rPr>
      </w:pPr>
      <w:r>
        <w:rPr>
          <w:rFonts w:ascii="Arial" w:cs="Arial" w:eastAsia="Arial" w:hAnsi="Arial"/>
          <w:sz w:val="20"/>
          <w:szCs w:val="20"/>
          <w:color w:val="auto"/>
        </w:rPr>
        <w:t>Fourth quarter mobile service revenue totaled $973 million, an increase of 13.1% year-over-year, driven by mobile line growth, partly offset by less favorable bundled revenue allocation year-over-year.</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Video revenue totaled $3.2 billion in the fourth quarter, a decrease of 10.3% compared to the prior year period, driven by a higher mix of lower priced video packages within Charter's video customer base, a decline in video customers during the last year, $165 million of costs allocated to programmer streaming applications and netted within video revenue versus $37 million in the prior year period and more unfavorable bundled revenue allocation year-over-year, partly offset by promotional rate step-ups and video rate adjustments that pass through programmer rate increases.</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Voice revenue decreased by 10.3% year-over-year to $316 million, driven by a decline in wireline voice customers, partly offset by voice rate adjustments.</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Commercial revenue increased by 0.3% year-over-year to $ 1.8 billion, driven by mid-market and large business revenue growth of 2.6% year-over-year, partly offset by a decline in small business revenue of 1.3%. Mid-market and large business revenue excluding wholesale increased by 3.0% year-over-year, mostly reflecting PSU growth. The year-over-year decrease in fourth quarter 2025 small business revenue was driven by a decline in small business customer relationships year-over-year and a 0.6% decrease year-over-year in monthly small business revenue per small business customer.</w:t>
      </w:r>
    </w:p>
    <w:p>
      <w:pPr>
        <w:spacing w:after="0" w:line="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Fourth quarter advertising sales revenue of $401 million decreased by 25.8% compared to the year</w:t>
      </w:r>
      <w:r>
        <w:rPr>
          <w:rFonts w:ascii="Times New Roman" w:cs="Times New Roman" w:eastAsia="Times New Roman" w:hAnsi="Times New Roman"/>
          <w:sz w:val="20"/>
          <w:szCs w:val="20"/>
          <w:color w:val="auto"/>
        </w:rPr>
        <w:t>-</w:t>
      </w:r>
      <w:r>
        <w:rPr>
          <w:rFonts w:ascii="Arial" w:cs="Arial" w:eastAsia="Arial" w:hAnsi="Arial"/>
          <w:sz w:val="20"/>
          <w:szCs w:val="20"/>
          <w:color w:val="auto"/>
        </w:rPr>
        <w:t>ago quarter, primarily driven by lower political revenue. Excluding political revenue in both periods, advertising sales revenue increased by 0.6% year-over-year due to higher advanced advertising revenue, mostly offset by a more challenged local and national advertising market.</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Other revenue totaled $948 million in the fourth quarter, an increase of 7.3% compared to the fourth quarter of 2024, primarily driven by higher mobile device sales.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Costs and Expenses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Fourth quarter programming costs decreased by $192 million, or 8.4% as compared to the fourth quarter of 2024, reflecting a higher mix of lower cost packages within Charter's video customer base, fewer video customers and $165 million of costs allocated to programmer streaming applications and netted within video revenue versus $37 million in the prior year period, partly offset by contractual programming rate increases and renewals.</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Other costs of revenue increased by $41 million, or 2.4% year-over-year, primarily driven by higher mobile service direct costs and mobile device sales, partly offset by lower advertising sales costs given lower political revenue and lower franchise and regulatory fees.</w:t>
      </w:r>
    </w:p>
    <w:p>
      <w:pPr>
        <w:spacing w:after="0" w:line="20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Field and technology operations expenses decreased by $69 million, or 5.1% year-over-year, primarily driven by lower labor expense.</w:t>
      </w:r>
    </w:p>
    <w:p>
      <w:pPr>
        <w:spacing w:after="0" w:line="19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Customer operations expenses decreased by $15 million, or 1.9% year-over-year, primarily due to a decrease in bad debt expense.</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Marketing and residential sales expenses decreased by $2 million or 0.1% year-over-year, due to lower labor expense, offset by a change in sales mix to higher cost sales channels.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Transition expenses represent incremental costs incurred to prepare for the integration of the previously announced Cox transaction.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71" w:right="339" w:bottom="1440" w:gutter="0" w:footer="0" w:header="0"/>
        </w:sectPr>
      </w:pPr>
    </w:p>
    <w:bookmarkStart w:id="9" w:name="page10"/>
    <w:bookmarkEnd w:id="9"/>
    <w:p>
      <w:pPr>
        <w:jc w:val="both"/>
        <w:ind w:right="20" w:firstLine="648"/>
        <w:spacing w:after="0" w:line="286" w:lineRule="auto"/>
        <w:rPr>
          <w:sz w:val="20"/>
          <w:szCs w:val="20"/>
          <w:color w:val="auto"/>
        </w:rPr>
      </w:pPr>
      <w:r>
        <w:rPr>
          <w:rFonts w:ascii="Arial" w:cs="Arial" w:eastAsia="Arial" w:hAnsi="Arial"/>
          <w:sz w:val="20"/>
          <w:szCs w:val="20"/>
          <w:color w:val="auto"/>
        </w:rPr>
        <w:t>Other expenses decreased by $34 million, or 3.1% as compared to the fourth quarter of 2024, primarily driven by lower labor expense.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Income Attributable to Charter Shareholders</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Net income attributable to Charter shareholders totaled $1.3 billion in the fourth quarter of 2025, compared to $1.5 billion in the fourth quarter of 2024, primarily due to lower Adjusted EBITDA, merger and acquisition costs related to the previously announced Cox transaction and higher income tax expense.</w:t>
      </w:r>
    </w:p>
    <w:p>
      <w:pPr>
        <w:spacing w:after="0" w:line="20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0"/>
          <w:szCs w:val="20"/>
          <w:color w:val="auto"/>
        </w:rPr>
        <w:t>Net income per basic common share attributable to Charter shareholders totaled $10.47 in the fourth quarter of 2025 compared to $10.32 during the same period last year. The increase was primarily the result of a 10.5% decrease in basic weighted average common shares outstanding versus the prior year period, partly offset by the factors described above.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Adjusted EBITDA</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Fourth quarter Adjusted EBITDA of $5.7 billion declined by 1.2% year-over-year, reflecting a decline in revenue of 2.3%, partly offset by a decrease in operating expenses of 3.1%.</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Capital expenditures totaled $3.3 billion in the fourth quarter of 2025, an increase of $273 million compared to the fourth quarter of 2024, driven by higher support capital and higher upgrade/rebuild (primarily network evolution) spend.</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Charter currently expects full year 2026 capital expenditures to total approximately $11.4 billion. The actual amount of capital expenditures in 2026 will depend on a number of factors including, but not limited to, the pace of Charter's network evolution and expansion initiatives, supply chain timing and growth rates in Charter's residential and commercial businesses.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Flow and Free Cash Flow</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During the fourth quarter of 2025, net cash flows from operating activities totaled $ 3.8 billion, an increase from $3.5 billion in the prior year. The year-over-year increase was primarily due to lower cash taxes and lower cash paid for interest, partly offset by a more unfavorable change in working capital and lower Adjusted EBITDA.</w:t>
      </w:r>
    </w:p>
    <w:p>
      <w:pPr>
        <w:spacing w:after="0" w:line="20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Free cash flow in the fourth quarter of 2025 totaled $773 million, a decrease of $211 million compared to the fourth quarter of 2024. The year-over-year decrease in free cash flow was driven by higher capital expenditures and a less favorable change in accrued expenses related to capital expenditures, partly offset by higher net cash flows from operating activities.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 &amp; Financing</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As of December 31, 2025, total principal amount of debt was $94.6 billion and Charter's credit facilities provided approximately $4.4 billion of additional liquidity in excess of Charter's $477 million cash position.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In January 2026, CCO Holdings, LLC ("CCO Holdings") and CCO Holdings Capital Corp. jointly issued $1.75 billion aggregate principal amount of 7.000% senior notes due February 2033 at par and $ 1.25 billion aggregate principal amount of 7.375% senior notes due February 2036 at par. The net proceeds will be used for general corporate purposes, including to repay certain indebtedness, including the call of $750 million of CCO Holdings 5.500% senior notes due 2026 and partial call of $2.25 billion of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28"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CCO Holdings 5.125% senior notes due 2027.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Repurchases</w:t>
      </w:r>
    </w:p>
    <w:p>
      <w:pPr>
        <w:spacing w:after="0" w:line="243"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During the three months ended December 31, 2025, Charter purchased 2.9 million shares of Charter Class A common stock for $760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2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i w:val="1"/>
          <w:iCs w:val="1"/>
          <w:color w:val="auto"/>
        </w:rPr>
        <w:t>Webcast</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Charter will host a webcast on Friday, January 30, 2026 at 8:30 a.m. Eastern Time (ET) related to the contents of this release.</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The webcast can be accessed live via the Company's investor relations website at </w:t>
      </w:r>
      <w:r>
        <w:rPr>
          <w:rFonts w:ascii="Arial" w:cs="Arial" w:eastAsia="Arial" w:hAnsi="Arial"/>
          <w:sz w:val="20"/>
          <w:szCs w:val="20"/>
          <w:u w:val="single" w:color="auto"/>
          <w:color w:val="0000FF"/>
        </w:rPr>
        <w:t>ir.charter.com</w:t>
      </w:r>
      <w:r>
        <w:rPr>
          <w:rFonts w:ascii="Arial" w:cs="Arial" w:eastAsia="Arial" w:hAnsi="Arial"/>
          <w:sz w:val="20"/>
          <w:szCs w:val="20"/>
          <w:color w:val="auto"/>
        </w:rPr>
        <w:t xml:space="preserve">. Participants should go to the webcast link no later than 10 minutes prior to the start time to register. The webcast will be archived at </w:t>
      </w:r>
      <w:r>
        <w:rPr>
          <w:rFonts w:ascii="Arial" w:cs="Arial" w:eastAsia="Arial" w:hAnsi="Arial"/>
          <w:sz w:val="20"/>
          <w:szCs w:val="20"/>
          <w:u w:val="single" w:color="auto"/>
          <w:color w:val="0000FF"/>
        </w:rPr>
        <w:t>ir.charter.com</w:t>
      </w:r>
      <w:r>
        <w:rPr>
          <w:rFonts w:ascii="Arial" w:cs="Arial" w:eastAsia="Arial" w:hAnsi="Arial"/>
          <w:sz w:val="20"/>
          <w:szCs w:val="20"/>
          <w:color w:val="auto"/>
        </w:rPr>
        <w:t xml:space="preserve"> two hours after completion of the webcast.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Information Available on Website</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 xml:space="preserve">The information in this press release should be read in conjunction with the financial statements and footnotes contained in the Company's Annual Report on Form 10-K for the year ended December 31, 2025, which will be posted on the “Results &amp; SEC Filings” section of the Company's investor relations website at </w:t>
      </w:r>
      <w:r>
        <w:rPr>
          <w:rFonts w:ascii="Arial" w:cs="Arial" w:eastAsia="Arial" w:hAnsi="Arial"/>
          <w:sz w:val="20"/>
          <w:szCs w:val="20"/>
          <w:u w:val="single" w:color="auto"/>
          <w:color w:val="0000FF"/>
        </w:rPr>
        <w:t>ir.charter.com</w:t>
      </w:r>
      <w:r>
        <w:rPr>
          <w:rFonts w:ascii="Arial" w:cs="Arial" w:eastAsia="Arial" w:hAnsi="Arial"/>
          <w:sz w:val="20"/>
          <w:szCs w:val="20"/>
          <w:color w:val="auto"/>
        </w:rPr>
        <w:t>, when it is filed with the Securities and Exchange Commission (the "SEC"). A slide presentation to accompany the conference call and a trending schedule containing historical customer and financial data will also be available in the “Results &amp; SEC Filings” section.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Adjusted EBITDA and Free Cash Flow Information</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Company uses certain measures that are not defined by U.S. generally accepted accounting principles ("GAAP") to evaluate various aspects of its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Charter, may not be comparable to similarly titled measures used by other companies. Adjusted EBITDA and free cash flow are reconciled to net income attributable to Charter shareholders and net cash flows from operating activities, respectively, in the Addendum to this release.</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merger and acquisition costs and (gain) loss on sale or retirement of assets. As such, it eliminates the significant non-cash depreciation and amortization expense that results from the capital-intensive nature of the Company's businesses as well as other non-cash or special items, and is unaffected by the Company's capital structure or investment activities. However, this measure is limited in that it does not reflect the periodic costs of certain capitalized tangible and intangible assets used in generating revenues and the cash cost of financing. These costs are evaluated through other financial measures.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Free cash flow is defined as net cash flows from operating activities, less capital expenditures and changes in accrued expenses related to capital expenditures.</w:t>
      </w:r>
    </w:p>
    <w:p>
      <w:pPr>
        <w:spacing w:after="0" w:line="1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Management and Charter's board of directors use Adjusted EBITDA and free cash flow to assess Charter's performance and its ability to service its debt, fund operations and make additional investments with internally generated funds. In addition, Adjusted EBITDA generally correlates to the leverage ratio calculation under the Company's credit facilities or outstanding notes to determine compliance with the covenants contained in the facilities and notes (all such documents have been previously filed with the SEC). For the purpose of calculating compliance with leverage covenants, the Company uses Adjusted EBITDA, as presented, excluding certain expenses paid by its operating subsidiaries to other Charter entities. The Company's debt covenants refer to these expenses as management fees, which were $331 million and $375 million for the three months ended December 31, 2025 and 2024, respectively, and $1.4 billion and $1.5 billion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2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About Charter</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Charter Communications, Inc. (NASDAQ:CHTR) is a leading broadband connectivity company with services available to 58 million homes and small to large businesses across 41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w:t>
      </w:r>
      <w:r>
        <w:rPr>
          <w:rFonts w:ascii="Arial" w:cs="Arial" w:eastAsia="Arial" w:hAnsi="Arial"/>
          <w:sz w:val="25"/>
          <w:szCs w:val="25"/>
          <w:color w:val="auto"/>
          <w:vertAlign w:val="superscript"/>
        </w:rPr>
        <w:t>®</w:t>
      </w:r>
      <w:r>
        <w:rPr>
          <w:rFonts w:ascii="Arial" w:cs="Arial" w:eastAsia="Arial" w:hAnsi="Arial"/>
          <w:sz w:val="20"/>
          <w:szCs w:val="20"/>
          <w:color w:val="auto"/>
        </w:rPr>
        <w:t>, Mobile, TV and Voice products.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More information about Charter can be found at corporate.charter.com.</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20"/>
                <w:szCs w:val="20"/>
                <w:color w:val="auto"/>
              </w:rPr>
              <w:t># # #</w:t>
            </w:r>
          </w:p>
        </w:tc>
        <w:tc>
          <w:tcPr>
            <w:tcW w:w="620" w:type="dxa"/>
            <w:vAlign w:val="bottom"/>
          </w:tcPr>
          <w:p>
            <w:pPr>
              <w:spacing w:after="0"/>
              <w:rPr>
                <w:sz w:val="22"/>
                <w:szCs w:val="22"/>
                <w:color w:val="auto"/>
              </w:rPr>
            </w:pPr>
          </w:p>
        </w:tc>
      </w:tr>
      <w:tr>
        <w:trPr>
          <w:trHeight w:val="496"/>
        </w:trPr>
        <w:tc>
          <w:tcPr>
            <w:tcW w:w="5400" w:type="dxa"/>
            <w:vAlign w:val="bottom"/>
            <w:gridSpan w:val="3"/>
          </w:tcPr>
          <w:p>
            <w:pPr>
              <w:spacing w:after="0"/>
              <w:rPr>
                <w:sz w:val="20"/>
                <w:szCs w:val="20"/>
                <w:color w:val="auto"/>
              </w:rPr>
            </w:pPr>
            <w:r>
              <w:rPr>
                <w:rFonts w:ascii="Arial" w:cs="Arial" w:eastAsia="Arial" w:hAnsi="Arial"/>
                <w:sz w:val="20"/>
                <w:szCs w:val="20"/>
                <w:b w:val="1"/>
                <w:bCs w:val="1"/>
                <w:color w:val="auto"/>
              </w:rPr>
              <w:t>Contact:</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line="223" w:lineRule="exact"/>
              <w:rPr>
                <w:sz w:val="20"/>
                <w:szCs w:val="20"/>
                <w:color w:val="auto"/>
              </w:rPr>
            </w:pPr>
            <w:r>
              <w:rPr>
                <w:rFonts w:ascii="Arial" w:cs="Arial" w:eastAsia="Arial" w:hAnsi="Arial"/>
                <w:sz w:val="20"/>
                <w:szCs w:val="20"/>
                <w:color w:val="auto"/>
                <w:w w:val="96"/>
              </w:rPr>
              <w:t>Media:</w:t>
            </w:r>
          </w:p>
        </w:tc>
        <w:tc>
          <w:tcPr>
            <w:tcW w:w="4780" w:type="dxa"/>
            <w:vAlign w:val="bottom"/>
          </w:tcPr>
          <w:p>
            <w:pPr>
              <w:spacing w:after="0"/>
              <w:rPr>
                <w:sz w:val="19"/>
                <w:szCs w:val="19"/>
                <w:color w:val="auto"/>
              </w:rPr>
            </w:pPr>
          </w:p>
        </w:tc>
        <w:tc>
          <w:tcPr>
            <w:tcW w:w="1420" w:type="dxa"/>
            <w:vAlign w:val="bottom"/>
            <w:gridSpan w:val="2"/>
          </w:tcPr>
          <w:p>
            <w:pPr>
              <w:spacing w:after="0" w:line="223" w:lineRule="exact"/>
              <w:rPr>
                <w:sz w:val="20"/>
                <w:szCs w:val="20"/>
                <w:color w:val="auto"/>
              </w:rPr>
            </w:pPr>
            <w:r>
              <w:rPr>
                <w:rFonts w:ascii="Arial" w:cs="Arial" w:eastAsia="Arial" w:hAnsi="Arial"/>
                <w:sz w:val="20"/>
                <w:szCs w:val="20"/>
                <w:color w:val="auto"/>
              </w:rPr>
              <w:t>Analysts:</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20"/>
                <w:szCs w:val="20"/>
                <w:color w:val="auto"/>
              </w:rPr>
              <w:t>Justin Venech</w:t>
            </w:r>
          </w:p>
        </w:tc>
        <w:tc>
          <w:tcPr>
            <w:tcW w:w="1420" w:type="dxa"/>
            <w:vAlign w:val="bottom"/>
            <w:gridSpan w:val="2"/>
          </w:tcPr>
          <w:p>
            <w:pPr>
              <w:spacing w:after="0"/>
              <w:rPr>
                <w:sz w:val="20"/>
                <w:szCs w:val="20"/>
                <w:color w:val="auto"/>
              </w:rPr>
            </w:pPr>
            <w:r>
              <w:rPr>
                <w:rFonts w:ascii="Arial" w:cs="Arial" w:eastAsia="Arial" w:hAnsi="Arial"/>
                <w:sz w:val="20"/>
                <w:szCs w:val="20"/>
                <w:color w:val="auto"/>
                <w:w w:val="97"/>
              </w:rPr>
              <w:t>Stefan Anninger</w:t>
            </w:r>
          </w:p>
        </w:tc>
      </w:tr>
      <w:tr>
        <w:trPr>
          <w:trHeight w:val="261"/>
        </w:trPr>
        <w:tc>
          <w:tcPr>
            <w:tcW w:w="5400" w:type="dxa"/>
            <w:vAlign w:val="bottom"/>
            <w:gridSpan w:val="3"/>
          </w:tcPr>
          <w:p>
            <w:pPr>
              <w:ind w:left="20"/>
              <w:spacing w:after="0"/>
              <w:rPr>
                <w:sz w:val="20"/>
                <w:szCs w:val="20"/>
                <w:color w:val="auto"/>
              </w:rPr>
            </w:pPr>
            <w:r>
              <w:rPr>
                <w:rFonts w:ascii="Arial" w:cs="Arial" w:eastAsia="Arial" w:hAnsi="Arial"/>
                <w:sz w:val="20"/>
                <w:szCs w:val="20"/>
                <w:color w:val="auto"/>
              </w:rPr>
              <w:t>203-905-7818</w:t>
            </w:r>
          </w:p>
        </w:tc>
        <w:tc>
          <w:tcPr>
            <w:tcW w:w="1420" w:type="dxa"/>
            <w:vAlign w:val="bottom"/>
            <w:gridSpan w:val="2"/>
          </w:tcPr>
          <w:p>
            <w:pPr>
              <w:spacing w:after="0"/>
              <w:rPr>
                <w:sz w:val="20"/>
                <w:szCs w:val="20"/>
                <w:color w:val="auto"/>
              </w:rPr>
            </w:pPr>
            <w:r>
              <w:rPr>
                <w:rFonts w:ascii="Arial" w:cs="Arial" w:eastAsia="Arial" w:hAnsi="Arial"/>
                <w:sz w:val="20"/>
                <w:szCs w:val="20"/>
                <w:color w:val="auto"/>
              </w:rPr>
              <w:t>203-905-7955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2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communication includes forward-looking statements within the meaning of Section 27A of the Securities Act of 1933, as amended, and Section 21E of the Securities Exchange Act of 1934, as amended,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from time to time in our filings with the SEC. Many of the forward-looking statements contained in this communication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communication are set forth in our annual report on Form 10-K, and in other reports or documents that we file from time to time with the SEC, and include, but are not limited to:</w:t>
      </w:r>
    </w:p>
    <w:p>
      <w:pPr>
        <w:spacing w:after="0" w:line="207" w:lineRule="exact"/>
        <w:rPr>
          <w:sz w:val="20"/>
          <w:szCs w:val="20"/>
          <w:color w:val="auto"/>
        </w:rPr>
      </w:pPr>
    </w:p>
    <w:p>
      <w:pPr>
        <w:jc w:val="both"/>
        <w:ind w:left="340" w:hanging="332"/>
        <w:spacing w:after="0" w:line="254"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2" w:lineRule="exact"/>
        <w:rPr>
          <w:rFonts w:ascii="Arial" w:cs="Arial" w:eastAsia="Arial" w:hAnsi="Arial"/>
          <w:sz w:val="20"/>
          <w:szCs w:val="20"/>
          <w:color w:val="auto"/>
        </w:rPr>
      </w:pPr>
    </w:p>
    <w:p>
      <w:pPr>
        <w:jc w:val="both"/>
        <w:ind w:left="340" w:hanging="332"/>
        <w:spacing w:after="0" w:line="244"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ind w:left="340" w:hanging="332"/>
        <w:spacing w:after="0" w:line="23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general business conditions, unemployment levels and the level of activity in the housing sector and economic uncertainty or downturn;</w:t>
      </w: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develop and deploy new products and technologies including consumer services and service platforms;</w:t>
      </w:r>
    </w:p>
    <w:p>
      <w:pPr>
        <w:spacing w:after="0" w:line="13"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events that disrupt our networks, information systems or properties and impair our operating activities or our reputation;</w:t>
      </w:r>
    </w:p>
    <w:p>
      <w:pPr>
        <w:jc w:val="both"/>
        <w:ind w:left="340" w:hanging="332"/>
        <w:spacing w:after="0" w:line="248"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spacing w:after="0" w:line="2"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procure necessary services and equipment from our vendors in a timely manner and at reasonable costs including in connection with our network evolution and rural construction initiatives;</w:t>
      </w:r>
    </w:p>
    <w:p>
      <w:pPr>
        <w:spacing w:after="0" w:line="1" w:lineRule="exact"/>
        <w:rPr>
          <w:rFonts w:ascii="Arial" w:cs="Arial" w:eastAsia="Arial" w:hAnsi="Arial"/>
          <w:sz w:val="20"/>
          <w:szCs w:val="20"/>
          <w:color w:val="auto"/>
        </w:rPr>
      </w:pPr>
    </w:p>
    <w:p>
      <w:pPr>
        <w:ind w:left="340" w:hanging="332"/>
        <w:spacing w:after="0" w:line="253"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obtain programming at reasonable prices or to raise prices to offset, in whole or in part, the effects of higher programming costs (including retransmission consents and distribution requirements);</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ability to hire and retain key personnel;</w:t>
      </w:r>
    </w:p>
    <w:p>
      <w:pPr>
        <w:jc w:val="both"/>
        <w:ind w:left="340" w:hanging="332"/>
        <w:spacing w:after="0" w:line="248"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spacing w:after="0" w:line="2"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comply with all covenants in our indentures and credit facilities, any violation of which, if not cured in a timely manner, could trigger a default of our other obligations under cross-default provisions;</w:t>
      </w:r>
    </w:p>
    <w:p>
      <w:pPr>
        <w:spacing w:after="0" w:line="1"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satisfy the conditions to consummate the Liberty Broadband Combination and/or the Cox Transactions and/or to consummate the Liberty Broadband Combination and/or the Cox Transactions in a timely manner or at all;</w:t>
      </w:r>
    </w:p>
    <w:p>
      <w:pPr>
        <w:spacing w:after="0" w:line="1" w:lineRule="exact"/>
        <w:rPr>
          <w:rFonts w:ascii="Arial" w:cs="Arial" w:eastAsia="Arial" w:hAnsi="Arial"/>
          <w:sz w:val="20"/>
          <w:szCs w:val="20"/>
          <w:color w:val="auto"/>
        </w:rPr>
      </w:pPr>
    </w:p>
    <w:p>
      <w:pPr>
        <w:ind w:left="340" w:hanging="332"/>
        <w:spacing w:after="0" w:line="267"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risks related to us being restricted in the operation of our business while the Liberty Broadband Merger Agreement and the Cox Communications Transaction Agreement are in effect;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26" w:right="339" w:bottom="1440" w:gutter="0" w:footer="0" w:header="0"/>
        </w:sectPr>
      </w:pPr>
    </w:p>
    <w:bookmarkStart w:id="14" w:name="page15"/>
    <w:bookmarkEnd w:id="14"/>
    <w:p>
      <w:pPr>
        <w:jc w:val="both"/>
        <w:ind w:left="340" w:hanging="332"/>
        <w:spacing w:after="0" w:line="255"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w:t>
      </w:r>
    </w:p>
    <w:p>
      <w:pPr>
        <w:jc w:val="both"/>
        <w:ind w:left="340" w:hanging="332"/>
        <w:spacing w:after="0" w:line="253"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risks related to the Cox Transactions as described in the definitive proxy statement with respect to the Cox Transactions, filed by Charter on July 2, 2025, including the sections entitled “Risk Factors” and “Where You Can Find More Information” included therein.</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communication.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2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RECONCILIATION OF NON-GAAP MEASURES TO GAAP MEASURES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5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7"/>
                <w:szCs w:val="17"/>
                <w:color w:val="auto"/>
              </w:rPr>
            </w:pPr>
          </w:p>
        </w:tc>
        <w:tc>
          <w:tcPr>
            <w:tcW w:w="22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61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190"/>
        </w:trPr>
        <w:tc>
          <w:tcPr>
            <w:tcW w:w="6180" w:type="dxa"/>
            <w:vAlign w:val="bottom"/>
          </w:tcPr>
          <w:p>
            <w:pPr>
              <w:spacing w:after="0"/>
              <w:rPr>
                <w:sz w:val="20"/>
                <w:szCs w:val="20"/>
                <w:color w:val="auto"/>
              </w:rPr>
            </w:pPr>
            <w:r>
              <w:rPr>
                <w:rFonts w:ascii="Arial" w:cs="Arial" w:eastAsia="Arial" w:hAnsi="Arial"/>
                <w:sz w:val="14"/>
                <w:szCs w:val="14"/>
                <w:color w:val="auto"/>
              </w:rPr>
              <w:t>Net income attributable to Charter shareholders</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4,987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5,083</w:t>
            </w:r>
          </w:p>
        </w:tc>
      </w:tr>
      <w:tr>
        <w:trPr>
          <w:trHeight w:val="203"/>
        </w:trPr>
        <w:tc>
          <w:tcPr>
            <w:tcW w:w="6180" w:type="dxa"/>
            <w:vAlign w:val="bottom"/>
          </w:tcPr>
          <w:p>
            <w:pPr>
              <w:ind w:left="120"/>
              <w:spacing w:after="0"/>
              <w:rPr>
                <w:sz w:val="20"/>
                <w:szCs w:val="20"/>
                <w:color w:val="auto"/>
              </w:rPr>
            </w:pPr>
            <w:r>
              <w:rPr>
                <w:rFonts w:ascii="Arial" w:cs="Arial" w:eastAsia="Arial" w:hAnsi="Arial"/>
                <w:sz w:val="14"/>
                <w:szCs w:val="14"/>
                <w:color w:val="auto"/>
              </w:rPr>
              <w:t>Plus: Net income attributable to noncontrolling interest</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770</w:t>
            </w:r>
          </w:p>
        </w:tc>
      </w:tr>
      <w:tr>
        <w:trPr>
          <w:trHeight w:val="203"/>
        </w:trPr>
        <w:tc>
          <w:tcPr>
            <w:tcW w:w="6180" w:type="dxa"/>
            <w:vAlign w:val="bottom"/>
          </w:tcPr>
          <w:p>
            <w:pPr>
              <w:ind w:left="54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5,229</w:t>
            </w:r>
          </w:p>
        </w:tc>
      </w:tr>
      <w:tr>
        <w:trPr>
          <w:trHeight w:val="203"/>
        </w:trPr>
        <w:tc>
          <w:tcPr>
            <w:tcW w:w="6180" w:type="dxa"/>
            <w:vAlign w:val="bottom"/>
          </w:tcPr>
          <w:p>
            <w:pPr>
              <w:ind w:left="540"/>
              <w:spacing w:after="0"/>
              <w:rPr>
                <w:sz w:val="20"/>
                <w:szCs w:val="20"/>
                <w:color w:val="auto"/>
              </w:rPr>
            </w:pPr>
            <w:r>
              <w:rPr>
                <w:rFonts w:ascii="Arial" w:cs="Arial" w:eastAsia="Arial" w:hAnsi="Arial"/>
                <w:sz w:val="14"/>
                <w:szCs w:val="14"/>
                <w:color w:val="auto"/>
              </w:rPr>
              <w:t>Income tax expense</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1,649</w:t>
            </w:r>
          </w:p>
        </w:tc>
      </w:tr>
      <w:tr>
        <w:trPr>
          <w:trHeight w:val="202"/>
        </w:trPr>
        <w:tc>
          <w:tcPr>
            <w:tcW w:w="6180" w:type="dxa"/>
            <w:vAlign w:val="bottom"/>
          </w:tcPr>
          <w:p>
            <w:pPr>
              <w:ind w:left="5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8,673</w:t>
            </w:r>
          </w:p>
        </w:tc>
      </w:tr>
      <w:tr>
        <w:trPr>
          <w:trHeight w:val="203"/>
        </w:trPr>
        <w:tc>
          <w:tcPr>
            <w:tcW w:w="6180" w:type="dxa"/>
            <w:vAlign w:val="bottom"/>
          </w:tcPr>
          <w:p>
            <w:pPr>
              <w:ind w:left="540"/>
              <w:spacing w:after="0"/>
              <w:rPr>
                <w:sz w:val="20"/>
                <w:szCs w:val="20"/>
                <w:color w:val="auto"/>
              </w:rPr>
            </w:pPr>
            <w:r>
              <w:rPr>
                <w:rFonts w:ascii="Arial" w:cs="Arial" w:eastAsia="Arial" w:hAnsi="Arial"/>
                <w:sz w:val="14"/>
                <w:szCs w:val="14"/>
                <w:color w:val="auto"/>
              </w:rPr>
              <w:t>Stock compensation expense</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651</w:t>
            </w:r>
          </w:p>
        </w:tc>
      </w:tr>
      <w:tr>
        <w:trPr>
          <w:trHeight w:val="207"/>
        </w:trPr>
        <w:tc>
          <w:tcPr>
            <w:tcW w:w="6180" w:type="dxa"/>
            <w:vAlign w:val="bottom"/>
          </w:tcPr>
          <w:p>
            <w:pPr>
              <w:ind w:left="5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r>
      <w:tr>
        <w:trPr>
          <w:trHeight w:val="200"/>
        </w:trPr>
        <w:tc>
          <w:tcPr>
            <w:tcW w:w="6180" w:type="dxa"/>
            <w:vAlign w:val="bottom"/>
          </w:tcPr>
          <w:p>
            <w:pPr>
              <w:spacing w:after="0" w:line="200"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(a)</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22,569</w:t>
            </w:r>
          </w:p>
        </w:tc>
      </w:tr>
      <w:tr>
        <w:trPr>
          <w:trHeight w:val="21"/>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7"/>
        </w:trPr>
        <w:tc>
          <w:tcPr>
            <w:tcW w:w="6180" w:type="dxa"/>
            <w:vAlign w:val="bottom"/>
          </w:tcPr>
          <w:p>
            <w:pPr>
              <w:spacing w:after="0"/>
              <w:rPr>
                <w:sz w:val="20"/>
                <w:szCs w:val="20"/>
                <w:color w:val="auto"/>
              </w:rPr>
            </w:pPr>
            <w:r>
              <w:rPr>
                <w:rFonts w:ascii="Arial" w:cs="Arial" w:eastAsia="Arial" w:hAnsi="Arial"/>
                <w:sz w:val="14"/>
                <w:szCs w:val="14"/>
                <w:color w:val="auto"/>
              </w:rPr>
              <w:t>Net cash flows from operating activities</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3,761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3,460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16,077</w:t>
            </w: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14,430</w:t>
            </w:r>
          </w:p>
        </w:tc>
      </w:tr>
      <w:tr>
        <w:trPr>
          <w:trHeight w:val="203"/>
        </w:trPr>
        <w:tc>
          <w:tcPr>
            <w:tcW w:w="6180" w:type="dxa"/>
            <w:vAlign w:val="bottom"/>
          </w:tcPr>
          <w:p>
            <w:pPr>
              <w:ind w:left="120"/>
              <w:spacing w:after="0"/>
              <w:rPr>
                <w:sz w:val="20"/>
                <w:szCs w:val="20"/>
                <w:color w:val="auto"/>
              </w:rPr>
            </w:pPr>
            <w:r>
              <w:rPr>
                <w:rFonts w:ascii="Arial" w:cs="Arial" w:eastAsia="Arial" w:hAnsi="Arial"/>
                <w:sz w:val="14"/>
                <w:szCs w:val="14"/>
                <w:color w:val="auto"/>
              </w:rPr>
              <w:t>Less: Purchases of property, plant and equipment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(11,269)</w:t>
            </w:r>
          </w:p>
        </w:tc>
      </w:tr>
      <w:tr>
        <w:trPr>
          <w:trHeight w:val="207"/>
        </w:trPr>
        <w:tc>
          <w:tcPr>
            <w:tcW w:w="6180" w:type="dxa"/>
            <w:vAlign w:val="bottom"/>
          </w:tcPr>
          <w:p>
            <w:pPr>
              <w:ind w:left="540"/>
              <w:spacing w:after="0"/>
              <w:rPr>
                <w:sz w:val="20"/>
                <w:szCs w:val="20"/>
                <w:color w:val="auto"/>
              </w:rPr>
            </w:pPr>
            <w:r>
              <w:rPr>
                <w:rFonts w:ascii="Arial" w:cs="Arial" w:eastAsia="Arial" w:hAnsi="Arial"/>
                <w:sz w:val="14"/>
                <w:szCs w:val="14"/>
                <w:color w:val="auto"/>
              </w:rPr>
              <w:t>Change in accrued expenses related to capital expenditures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r>
      <w:tr>
        <w:trPr>
          <w:trHeight w:val="200"/>
        </w:trPr>
        <w:tc>
          <w:tcPr>
            <w:tcW w:w="6180" w:type="dxa"/>
            <w:vAlign w:val="bottom"/>
          </w:tcPr>
          <w:p>
            <w:pPr>
              <w:spacing w:after="0" w:line="200"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(a)</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4,257</w:t>
            </w:r>
          </w:p>
        </w:tc>
      </w:tr>
      <w:tr>
        <w:trPr>
          <w:trHeight w:val="21"/>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above schedule is presented in order to reconcile Adjusted EBITDA and free cash flow, non-GAAP measures, to the most directly comparable GAAP measures in accordance with Section 401(b) of the Sarbanes-Oxley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ALTERNATIVE PRESENTATION OF ADJUSTED EBITDA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176"/>
        </w:trPr>
        <w:tc>
          <w:tcPr>
            <w:tcW w:w="380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03"/>
        </w:trPr>
        <w:tc>
          <w:tcPr>
            <w:tcW w:w="3800" w:type="dxa"/>
            <w:vAlign w:val="bottom"/>
          </w:tcPr>
          <w:p>
            <w:pPr>
              <w:ind w:left="220"/>
              <w:spacing w:after="0"/>
              <w:rPr>
                <w:sz w:val="20"/>
                <w:szCs w:val="20"/>
                <w:color w:val="auto"/>
              </w:rPr>
            </w:pPr>
            <w:r>
              <w:rPr>
                <w:rFonts w:ascii="Arial" w:cs="Arial" w:eastAsia="Arial" w:hAnsi="Arial"/>
                <w:sz w:val="14"/>
                <w:szCs w:val="14"/>
                <w:color w:val="auto"/>
              </w:rPr>
              <w:t>Internet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5,856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23,765</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4"/>
        </w:trPr>
        <w:tc>
          <w:tcPr>
            <w:tcW w:w="3800" w:type="dxa"/>
            <w:vAlign w:val="bottom"/>
          </w:tcPr>
          <w:p>
            <w:pPr>
              <w:ind w:left="220"/>
              <w:spacing w:after="0"/>
              <w:rPr>
                <w:sz w:val="20"/>
                <w:szCs w:val="20"/>
                <w:color w:val="auto"/>
              </w:rPr>
            </w:pPr>
            <w:r>
              <w:rPr>
                <w:rFonts w:ascii="Arial" w:cs="Arial" w:eastAsia="Arial" w:hAnsi="Arial"/>
                <w:sz w:val="14"/>
                <w:szCs w:val="14"/>
                <w:color w:val="auto"/>
              </w:rPr>
              <w:t>Mobile service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22.0 %</w:t>
            </w:r>
          </w:p>
        </w:tc>
      </w:tr>
      <w:tr>
        <w:trPr>
          <w:trHeight w:val="194"/>
        </w:trPr>
        <w:tc>
          <w:tcPr>
            <w:tcW w:w="3800" w:type="dxa"/>
            <w:vAlign w:val="bottom"/>
          </w:tcPr>
          <w:p>
            <w:pPr>
              <w:ind w:left="120"/>
              <w:spacing w:after="0"/>
              <w:rPr>
                <w:sz w:val="20"/>
                <w:szCs w:val="20"/>
                <w:color w:val="auto"/>
              </w:rPr>
            </w:pPr>
            <w:r>
              <w:rPr>
                <w:rFonts w:ascii="Arial" w:cs="Arial" w:eastAsia="Arial" w:hAnsi="Arial"/>
                <w:sz w:val="14"/>
                <w:szCs w:val="14"/>
                <w:color w:val="auto"/>
              </w:rPr>
              <w:t>Connectivity</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6,868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Video*</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3800" w:type="dxa"/>
            <w:vAlign w:val="bottom"/>
          </w:tcPr>
          <w:p>
            <w:pPr>
              <w:ind w:left="120"/>
              <w:spacing w:after="0"/>
              <w:rPr>
                <w:sz w:val="20"/>
                <w:szCs w:val="20"/>
                <w:color w:val="auto"/>
              </w:rPr>
            </w:pPr>
            <w:r>
              <w:rPr>
                <w:rFonts w:ascii="Arial" w:cs="Arial" w:eastAsia="Arial" w:hAnsi="Arial"/>
                <w:sz w:val="14"/>
                <w:szCs w:val="14"/>
                <w:color w:val="auto"/>
              </w:rPr>
              <w:t>Voice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5"/>
        </w:trPr>
        <w:tc>
          <w:tcPr>
            <w:tcW w:w="3800" w:type="dxa"/>
            <w:vAlign w:val="bottom"/>
          </w:tcPr>
          <w:p>
            <w:pPr>
              <w:spacing w:after="0"/>
              <w:rPr>
                <w:sz w:val="20"/>
                <w:szCs w:val="20"/>
                <w:color w:val="auto"/>
              </w:rPr>
            </w:pPr>
            <w:r>
              <w:rPr>
                <w:rFonts w:ascii="Arial" w:cs="Arial" w:eastAsia="Arial" w:hAnsi="Arial"/>
                <w:sz w:val="14"/>
                <w:szCs w:val="14"/>
                <w:color w:val="auto"/>
              </w:rPr>
              <w:t>Residential revenue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10,685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42,580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Small business*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4"/>
        </w:trPr>
        <w:tc>
          <w:tcPr>
            <w:tcW w:w="3800" w:type="dxa"/>
            <w:vAlign w:val="bottom"/>
          </w:tcPr>
          <w:p>
            <w:pPr>
              <w:ind w:left="120"/>
              <w:spacing w:after="0"/>
              <w:rPr>
                <w:sz w:val="20"/>
                <w:szCs w:val="20"/>
                <w:color w:val="auto"/>
              </w:rPr>
            </w:pPr>
            <w:r>
              <w:rPr>
                <w:rFonts w:ascii="Arial" w:cs="Arial" w:eastAsia="Arial" w:hAnsi="Arial"/>
                <w:sz w:val="14"/>
                <w:szCs w:val="14"/>
                <w:color w:val="auto"/>
              </w:rPr>
              <w:t>Mid-market &amp; large business*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3.2 %</w:t>
            </w:r>
          </w:p>
        </w:tc>
      </w:tr>
      <w:tr>
        <w:trPr>
          <w:trHeight w:val="194"/>
        </w:trPr>
        <w:tc>
          <w:tcPr>
            <w:tcW w:w="3800" w:type="dxa"/>
            <w:vAlign w:val="bottom"/>
          </w:tcPr>
          <w:p>
            <w:pPr>
              <w:spacing w:after="0"/>
              <w:rPr>
                <w:sz w:val="20"/>
                <w:szCs w:val="20"/>
                <w:color w:val="auto"/>
              </w:rPr>
            </w:pPr>
            <w:r>
              <w:rPr>
                <w:rFonts w:ascii="Arial" w:cs="Arial" w:eastAsia="Arial" w:hAnsi="Arial"/>
                <w:sz w:val="14"/>
                <w:szCs w:val="14"/>
                <w:color w:val="auto"/>
              </w:rPr>
              <w:t>Commercial revenue</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0.9 %</w:t>
            </w:r>
          </w:p>
        </w:tc>
      </w:tr>
      <w:tr>
        <w:trPr>
          <w:trHeight w:val="203"/>
        </w:trPr>
        <w:tc>
          <w:tcPr>
            <w:tcW w:w="3800" w:type="dxa"/>
            <w:vAlign w:val="bottom"/>
          </w:tcPr>
          <w:p>
            <w:pPr>
              <w:spacing w:after="0"/>
              <w:rPr>
                <w:sz w:val="20"/>
                <w:szCs w:val="20"/>
                <w:color w:val="auto"/>
              </w:rPr>
            </w:pPr>
            <w:r>
              <w:rPr>
                <w:rFonts w:ascii="Arial" w:cs="Arial" w:eastAsia="Arial" w:hAnsi="Arial"/>
                <w:sz w:val="14"/>
                <w:szCs w:val="14"/>
                <w:color w:val="auto"/>
              </w:rPr>
              <w:t>Advertising sales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04"/>
        </w:trPr>
        <w:tc>
          <w:tcPr>
            <w:tcW w:w="3800" w:type="dxa"/>
            <w:vAlign w:val="bottom"/>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12.1 %</w:t>
            </w:r>
          </w:p>
        </w:tc>
      </w:tr>
      <w:tr>
        <w:trPr>
          <w:trHeight w:val="196"/>
        </w:trPr>
        <w:tc>
          <w:tcPr>
            <w:tcW w:w="380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54,774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89"/>
        </w:trPr>
        <w:tc>
          <w:tcPr>
            <w:tcW w:w="380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Programming</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2,275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Other costs of revenue</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5.6 %</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Field and technology operations*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Customer operations*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Marketing and residential sales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5.4 %</w:t>
            </w:r>
          </w:p>
        </w:tc>
      </w:tr>
      <w:tr>
        <w:trPr>
          <w:trHeight w:val="203"/>
        </w:trPr>
        <w:tc>
          <w:tcPr>
            <w:tcW w:w="3800" w:type="dxa"/>
            <w:vAlign w:val="bottom"/>
          </w:tcPr>
          <w:p>
            <w:pPr>
              <w:ind w:left="120"/>
              <w:spacing w:after="0"/>
              <w:rPr>
                <w:sz w:val="20"/>
                <w:szCs w:val="20"/>
                <w:color w:val="auto"/>
              </w:rPr>
            </w:pPr>
            <w:r>
              <w:rPr>
                <w:rFonts w:ascii="Arial" w:cs="Arial" w:eastAsia="Arial" w:hAnsi="Arial"/>
                <w:sz w:val="14"/>
                <w:szCs w:val="14"/>
                <w:color w:val="auto"/>
              </w:rPr>
              <w:t>Transition expenses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11"/>
        </w:trPr>
        <w:tc>
          <w:tcPr>
            <w:tcW w:w="3800" w:type="dxa"/>
            <w:vAlign w:val="bottom"/>
          </w:tcPr>
          <w:p>
            <w:pPr>
              <w:ind w:left="120"/>
              <w:spacing w:after="0"/>
              <w:rPr>
                <w:sz w:val="20"/>
                <w:szCs w:val="20"/>
                <w:color w:val="auto"/>
              </w:rPr>
            </w:pPr>
            <w:r>
              <w:rPr>
                <w:rFonts w:ascii="Arial" w:cs="Arial" w:eastAsia="Arial" w:hAnsi="Arial"/>
                <w:sz w:val="14"/>
                <w:szCs w:val="14"/>
                <w:color w:val="auto"/>
              </w:rPr>
              <w:t xml:space="preserve">Other expense*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3800" w:type="dxa"/>
            <w:vAlign w:val="bottom"/>
          </w:tcPr>
          <w:p>
            <w:pPr>
              <w:ind w:left="220"/>
              <w:spacing w:after="0" w:line="196" w:lineRule="exact"/>
              <w:rPr>
                <w:sz w:val="20"/>
                <w:szCs w:val="20"/>
                <w:color w:val="auto"/>
              </w:rPr>
            </w:pPr>
            <w:r>
              <w:rPr>
                <w:rFonts w:ascii="Arial" w:cs="Arial" w:eastAsia="Arial" w:hAnsi="Arial"/>
                <w:sz w:val="14"/>
                <w:szCs w:val="14"/>
                <w:color w:val="auto"/>
              </w:rPr>
              <w:t xml:space="preserve">Total operating costs and expenses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0"/>
        </w:trPr>
        <w:tc>
          <w:tcPr>
            <w:tcW w:w="3800" w:type="dxa"/>
            <w:vAlign w:val="bottom"/>
          </w:tcPr>
          <w:p>
            <w:pPr>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(a)</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0.6 %</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28" w:lineRule="exact"/>
        <w:rPr>
          <w:sz w:val="20"/>
          <w:szCs w:val="20"/>
          <w:color w:val="auto"/>
        </w:rPr>
      </w:pPr>
    </w:p>
    <w:p>
      <w:pPr>
        <w:ind w:firstLine="8"/>
        <w:spacing w:after="0" w:line="305" w:lineRule="auto"/>
        <w:tabs>
          <w:tab w:leader="none" w:pos="103"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revenue and expense reclassifications were made for all periods presented to reflect changes in how we manage our business. The reclassifications did not result in any changes to total revenue, operating expenses or Adjusted EBITDA for any period presented.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using whole numbers. Minor differences may exist due to rounding. See footnotes on page 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7</w:t>
      </w:r>
    </w:p>
    <w:p>
      <w:pPr>
        <w:sectPr>
          <w:pgSz w:w="11900" w:h="16838" w:orient="portrait"/>
          <w:cols w:equalWidth="0" w:num="1">
            <w:col w:w="11240"/>
          </w:cols>
          <w:pgMar w:left="320" w:top="530"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7"/>
                <w:szCs w:val="17"/>
                <w:color w:val="auto"/>
              </w:rPr>
            </w:pPr>
          </w:p>
        </w:tc>
        <w:tc>
          <w:tcPr>
            <w:tcW w:w="23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13,601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54,774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55,085</w:t>
            </w:r>
          </w:p>
        </w:tc>
        <w:tc>
          <w:tcPr>
            <w:tcW w:w="0" w:type="dxa"/>
            <w:vAlign w:val="bottom"/>
          </w:tcPr>
          <w:p>
            <w:pPr>
              <w:spacing w:after="0"/>
              <w:rPr>
                <w:sz w:val="1"/>
                <w:szCs w:val="1"/>
                <w:color w:val="auto"/>
              </w:rPr>
            </w:pPr>
          </w:p>
        </w:tc>
      </w:tr>
      <w:tr>
        <w:trPr>
          <w:trHeight w:val="397"/>
        </w:trPr>
        <w:tc>
          <w:tcPr>
            <w:tcW w:w="5900" w:type="dxa"/>
            <w:vAlign w:val="bottom"/>
          </w:tcPr>
          <w:p>
            <w:pPr>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Operating costs and expenses (exclusive of items shown separately below)</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8,053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32,739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33,167</w:t>
            </w: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8,673</w:t>
            </w:r>
          </w:p>
        </w:tc>
        <w:tc>
          <w:tcPr>
            <w:tcW w:w="0" w:type="dxa"/>
            <w:vAlign w:val="bottom"/>
          </w:tcPr>
          <w:p>
            <w:pPr>
              <w:spacing w:after="0"/>
              <w:rPr>
                <w:sz w:val="1"/>
                <w:szCs w:val="1"/>
                <w:color w:val="auto"/>
              </w:rPr>
            </w:pPr>
          </w:p>
        </w:tc>
      </w:tr>
      <w:tr>
        <w:trPr>
          <w:trHeight w:val="207"/>
        </w:trPr>
        <w:tc>
          <w:tcPr>
            <w:tcW w:w="5900" w:type="dxa"/>
            <w:vAlign w:val="bottom"/>
          </w:tcPr>
          <w:p>
            <w:pPr>
              <w:ind w:left="120"/>
              <w:spacing w:after="0"/>
              <w:rPr>
                <w:sz w:val="20"/>
                <w:szCs w:val="20"/>
                <w:color w:val="auto"/>
              </w:rPr>
            </w:pPr>
            <w:r>
              <w:rPr>
                <w:rFonts w:ascii="Arial" w:cs="Arial" w:eastAsia="Arial" w:hAnsi="Arial"/>
                <w:sz w:val="14"/>
                <w:szCs w:val="14"/>
                <w:color w:val="auto"/>
              </w:rPr>
              <w:t>Other operating expenses, net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10,340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41,866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41,967</w:t>
            </w:r>
          </w:p>
        </w:tc>
        <w:tc>
          <w:tcPr>
            <w:tcW w:w="0" w:type="dxa"/>
            <w:vAlign w:val="bottom"/>
          </w:tcPr>
          <w:p>
            <w:pPr>
              <w:spacing w:after="0"/>
              <w:rPr>
                <w:sz w:val="1"/>
                <w:szCs w:val="1"/>
                <w:color w:val="auto"/>
              </w:rPr>
            </w:pPr>
          </w:p>
        </w:tc>
      </w:tr>
      <w:tr>
        <w:trPr>
          <w:trHeight w:val="196"/>
        </w:trPr>
        <w:tc>
          <w:tcPr>
            <w:tcW w:w="5900" w:type="dxa"/>
            <w:vAlign w:val="bottom"/>
          </w:tcPr>
          <w:p>
            <w:pPr>
              <w:ind w:left="220"/>
              <w:spacing w:after="0"/>
              <w:rPr>
                <w:sz w:val="20"/>
                <w:szCs w:val="20"/>
                <w:color w:val="auto"/>
              </w:rPr>
            </w:pPr>
            <w:r>
              <w:rPr>
                <w:rFonts w:ascii="Arial" w:cs="Arial" w:eastAsia="Arial" w:hAnsi="Arial"/>
                <w:sz w:val="14"/>
                <w:szCs w:val="14"/>
                <w:color w:val="auto"/>
              </w:rPr>
              <w:t>Income from operations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12,908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13,118</w:t>
            </w:r>
          </w:p>
        </w:tc>
        <w:tc>
          <w:tcPr>
            <w:tcW w:w="0" w:type="dxa"/>
            <w:vAlign w:val="bottom"/>
          </w:tcPr>
          <w:p>
            <w:pPr>
              <w:spacing w:after="0"/>
              <w:rPr>
                <w:sz w:val="1"/>
                <w:szCs w:val="1"/>
                <w:color w:val="auto"/>
              </w:rPr>
            </w:pPr>
          </w:p>
        </w:tc>
      </w:tr>
      <w:tr>
        <w:trPr>
          <w:trHeight w:val="397"/>
        </w:trPr>
        <w:tc>
          <w:tcPr>
            <w:tcW w:w="5900" w:type="dxa"/>
            <w:vAlign w:val="bottom"/>
          </w:tcPr>
          <w:p>
            <w:pPr>
              <w:spacing w:after="0"/>
              <w:rPr>
                <w:sz w:val="20"/>
                <w:szCs w:val="20"/>
                <w:color w:val="auto"/>
              </w:rPr>
            </w:pPr>
            <w:r>
              <w:rPr>
                <w:rFonts w:ascii="Arial" w:cs="Arial" w:eastAsia="Arial" w:hAnsi="Arial"/>
                <w:sz w:val="14"/>
                <w:szCs w:val="14"/>
                <w:color w:val="auto"/>
              </w:rPr>
              <w:t>OTHER INCOME (EXPENSES):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207"/>
        </w:trPr>
        <w:tc>
          <w:tcPr>
            <w:tcW w:w="5900" w:type="dxa"/>
            <w:vAlign w:val="bottom"/>
          </w:tcPr>
          <w:p>
            <w:pPr>
              <w:ind w:left="120"/>
              <w:spacing w:after="0"/>
              <w:rPr>
                <w:sz w:val="20"/>
                <w:szCs w:val="20"/>
                <w:color w:val="auto"/>
              </w:rPr>
            </w:pPr>
            <w:r>
              <w:rPr>
                <w:rFonts w:ascii="Arial" w:cs="Arial" w:eastAsia="Arial" w:hAnsi="Arial"/>
                <w:sz w:val="14"/>
                <w:szCs w:val="14"/>
                <w:color w:val="auto"/>
              </w:rPr>
              <w:t>Other expenses, net</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(5,616)</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7,502</w:t>
            </w:r>
          </w:p>
        </w:tc>
        <w:tc>
          <w:tcPr>
            <w:tcW w:w="0" w:type="dxa"/>
            <w:vAlign w:val="bottom"/>
          </w:tcPr>
          <w:p>
            <w:pPr>
              <w:spacing w:after="0"/>
              <w:rPr>
                <w:sz w:val="1"/>
                <w:szCs w:val="1"/>
                <w:color w:val="auto"/>
              </w:rPr>
            </w:pPr>
          </w:p>
        </w:tc>
      </w:tr>
      <w:tr>
        <w:trPr>
          <w:trHeight w:val="204"/>
        </w:trPr>
        <w:tc>
          <w:tcPr>
            <w:tcW w:w="590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204"/>
        </w:trPr>
        <w:tc>
          <w:tcPr>
            <w:tcW w:w="5900" w:type="dxa"/>
            <w:vAlign w:val="bottom"/>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4"/>
                <w:szCs w:val="14"/>
                <w:color w:val="auto"/>
              </w:rPr>
              <w:t>Net income attributable to Charter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5,083</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4"/>
                <w:szCs w:val="14"/>
                <w:color w:val="auto"/>
              </w:rPr>
              <w:t>EARNINGS PER COMMON SHARE ATTRIBUTABLE TO CHARTER SHAREHOLDERS:</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5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900" w:type="dxa"/>
            <w:vAlign w:val="bottom"/>
          </w:tcPr>
          <w:p>
            <w:pPr>
              <w:ind w:left="120"/>
              <w:spacing w:after="0"/>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Weighted average common shares outstanding, basic</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127,233,218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142,115,129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135,155,309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143,061,337</w:t>
            </w:r>
          </w:p>
        </w:tc>
        <w:tc>
          <w:tcPr>
            <w:tcW w:w="0" w:type="dxa"/>
            <w:vAlign w:val="bottom"/>
          </w:tcPr>
          <w:p>
            <w:pPr>
              <w:spacing w:after="0"/>
              <w:rPr>
                <w:sz w:val="1"/>
                <w:szCs w:val="1"/>
                <w:color w:val="auto"/>
              </w:rPr>
            </w:pPr>
          </w:p>
        </w:tc>
      </w:tr>
      <w:tr>
        <w:trPr>
          <w:trHeight w:val="27"/>
        </w:trPr>
        <w:tc>
          <w:tcPr>
            <w:tcW w:w="5900" w:type="dxa"/>
            <w:vAlign w:val="bottom"/>
            <w:vMerge w:val="restart"/>
          </w:tcPr>
          <w:p>
            <w:pPr>
              <w:ind w:left="120"/>
              <w:spacing w:after="0"/>
              <w:rPr>
                <w:sz w:val="20"/>
                <w:szCs w:val="20"/>
                <w:color w:val="auto"/>
              </w:rPr>
            </w:pPr>
            <w:r>
              <w:rPr>
                <w:rFonts w:ascii="Arial" w:cs="Arial" w:eastAsia="Arial" w:hAnsi="Arial"/>
                <w:sz w:val="14"/>
                <w:szCs w:val="14"/>
                <w:color w:val="auto"/>
              </w:rPr>
              <w:t>Weighted average common shares outstanding, diluted</w:t>
            </w: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128,927,643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145,269,468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137,743,676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145,363,771</w:t>
            </w:r>
          </w:p>
        </w:tc>
        <w:tc>
          <w:tcPr>
            <w:tcW w:w="0" w:type="dxa"/>
            <w:vAlign w:val="bottom"/>
          </w:tcPr>
          <w:p>
            <w:pPr>
              <w:spacing w:after="0"/>
              <w:rPr>
                <w:sz w:val="1"/>
                <w:szCs w:val="1"/>
                <w:color w:val="auto"/>
              </w:rPr>
            </w:pPr>
          </w:p>
        </w:tc>
      </w:tr>
      <w:tr>
        <w:trPr>
          <w:trHeight w:val="25"/>
        </w:trPr>
        <w:tc>
          <w:tcPr>
            <w:tcW w:w="5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2 of 7</w:t>
      </w:r>
    </w:p>
    <w:p>
      <w:pPr>
        <w:sectPr>
          <w:pgSz w:w="11900" w:h="16838" w:orient="portrait"/>
          <w:cols w:equalWidth="0" w:num="1">
            <w:col w:w="11180"/>
          </w:cols>
          <w:pgMar w:left="360" w:top="773" w:right="35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42" w:lineRule="exact"/>
        <w:rPr>
          <w:sz w:val="20"/>
          <w:szCs w:val="20"/>
          <w:color w:val="auto"/>
        </w:rPr>
      </w:pPr>
    </w:p>
    <w:p>
      <w:pPr>
        <w:ind w:left="200" w:right="1040"/>
        <w:spacing w:after="0" w:line="301" w:lineRule="auto"/>
        <w:rPr>
          <w:sz w:val="20"/>
          <w:szCs w:val="20"/>
          <w:color w:val="auto"/>
        </w:rPr>
      </w:pPr>
      <w:r>
        <w:rPr>
          <w:rFonts w:ascii="Arial" w:cs="Arial" w:eastAsia="Arial" w:hAnsi="Arial"/>
          <w:sz w:val="14"/>
          <w:szCs w:val="14"/>
          <w:color w:val="auto"/>
        </w:rPr>
        <w:t>Cash and cash equivalents Accounts receivable, net</w:t>
      </w:r>
    </w:p>
    <w:p>
      <w:pPr>
        <w:spacing w:after="0" w:line="1" w:lineRule="exact"/>
        <w:rPr>
          <w:sz w:val="20"/>
          <w:szCs w:val="20"/>
          <w:color w:val="auto"/>
        </w:rPr>
      </w:pPr>
    </w:p>
    <w:p>
      <w:pPr>
        <w:ind w:left="460" w:right="20" w:hanging="242"/>
        <w:spacing w:after="0" w:line="365"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145" w:lineRule="exact"/>
        <w:rPr>
          <w:sz w:val="20"/>
          <w:szCs w:val="20"/>
          <w:color w:val="auto"/>
        </w:rPr>
      </w:pPr>
    </w:p>
    <w:p>
      <w:pPr>
        <w:ind w:left="200" w:right="340" w:hanging="201"/>
        <w:spacing w:after="0" w:line="325" w:lineRule="auto"/>
        <w:rPr>
          <w:sz w:val="20"/>
          <w:szCs w:val="20"/>
          <w:color w:val="auto"/>
        </w:rPr>
      </w:pPr>
      <w:r>
        <w:rPr>
          <w:rFonts w:ascii="Arial" w:cs="Arial" w:eastAsia="Arial" w:hAnsi="Arial"/>
          <w:sz w:val="14"/>
          <w:szCs w:val="14"/>
          <w:color w:val="auto"/>
        </w:rPr>
        <w:t>INVESTMENT IN CABLE PROPERTIES: Property, plant and equipment, net Customer relationships, net Franchises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Goodwill</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Total investment in cable properties, net</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34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81"/>
        </w:trPr>
        <w:tc>
          <w:tcPr>
            <w:tcW w:w="43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99"/>
        </w:trPr>
        <w:tc>
          <w:tcPr>
            <w:tcW w:w="4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3,097</w:t>
            </w:r>
          </w:p>
        </w:tc>
      </w:tr>
      <w:tr>
        <w:trPr>
          <w:trHeight w:val="20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5,144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4,233</w:t>
            </w:r>
          </w:p>
        </w:tc>
      </w:tr>
      <w:tr>
        <w:trPr>
          <w:trHeight w:val="597"/>
        </w:trPr>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46,444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42,913</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203"/>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67,471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67,462</w:t>
            </w:r>
          </w:p>
        </w:tc>
      </w:tr>
      <w:tr>
        <w:trPr>
          <w:trHeight w:val="20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29,710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29,674</w:t>
            </w:r>
          </w:p>
        </w:tc>
      </w:tr>
      <w:tr>
        <w:trPr>
          <w:trHeight w:val="196"/>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144,065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141,024</w:t>
            </w:r>
          </w:p>
        </w:tc>
      </w:tr>
      <w:tr>
        <w:trPr>
          <w:trHeight w:val="399"/>
        </w:trPr>
        <w:tc>
          <w:tcPr>
            <w:tcW w:w="4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4,763</w:t>
            </w:r>
          </w:p>
        </w:tc>
      </w:tr>
      <w:tr>
        <w:trPr>
          <w:trHeight w:val="398"/>
        </w:trPr>
        <w:tc>
          <w:tcPr>
            <w:tcW w:w="4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154,213</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150,020</w:t>
            </w:r>
          </w:p>
        </w:tc>
      </w:tr>
      <w:tr>
        <w:trPr>
          <w:trHeight w:val="25"/>
        </w:trPr>
        <w:tc>
          <w:tcPr>
            <w:tcW w:w="43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2">
            <w:col w:w="2980" w:space="420"/>
            <w:col w:w="7780"/>
          </w:cols>
          <w:pgMar w:left="360" w:top="773" w:right="359" w:bottom="1440" w:gutter="0" w:footer="0" w:header="0"/>
        </w:sectPr>
      </w:pPr>
    </w:p>
    <w:tbl>
      <w:tblPr>
        <w:tblLayout w:type="fixed"/>
        <w:tblInd w:w="0" w:type="dxa"/>
        <w:tblCellMar>
          <w:top w:w="0" w:type="dxa"/>
          <w:left w:w="0" w:type="dxa"/>
          <w:bottom w:w="0" w:type="dxa"/>
          <w:right w:w="0" w:type="dxa"/>
        </w:tblCellMar>
      </w:tblPr>
      <w:tr>
        <w:trPr>
          <w:trHeight w:val="196"/>
        </w:trPr>
        <w:tc>
          <w:tcPr>
            <w:tcW w:w="8080" w:type="dxa"/>
            <w:vAlign w:val="bottom"/>
          </w:tcPr>
          <w:p>
            <w:pPr>
              <w:ind w:left="2520"/>
              <w:spacing w:after="0"/>
              <w:rPr>
                <w:sz w:val="20"/>
                <w:szCs w:val="20"/>
                <w:color w:val="auto"/>
              </w:rPr>
            </w:pPr>
            <w:r>
              <w:rPr>
                <w:rFonts w:ascii="Arial" w:cs="Arial" w:eastAsia="Arial" w:hAnsi="Arial"/>
                <w:sz w:val="14"/>
                <w:szCs w:val="14"/>
                <w:b w:val="1"/>
                <w:bCs w:val="1"/>
                <w:color w:val="auto"/>
              </w:rPr>
              <w:t>LIABILITIES AND SHAREHOLDERS' EQUITY</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7"/>
        </w:trPr>
        <w:tc>
          <w:tcPr>
            <w:tcW w:w="8080" w:type="dxa"/>
            <w:vAlign w:val="bottom"/>
          </w:tcPr>
          <w:p>
            <w:pPr>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080" w:type="dxa"/>
            <w:vAlign w:val="bottom"/>
          </w:tcPr>
          <w:p>
            <w:pPr>
              <w:ind w:left="200"/>
              <w:spacing w:after="0"/>
              <w:rPr>
                <w:sz w:val="20"/>
                <w:szCs w:val="20"/>
                <w:color w:val="auto"/>
              </w:rPr>
            </w:pPr>
            <w:r>
              <w:rPr>
                <w:rFonts w:ascii="Arial" w:cs="Arial" w:eastAsia="Arial" w:hAnsi="Arial"/>
                <w:sz w:val="14"/>
                <w:szCs w:val="14"/>
                <w:color w:val="auto"/>
              </w:rPr>
              <w:t>Accounts payable, accrued and other current liabilities</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12,556</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11,687</w:t>
            </w:r>
          </w:p>
        </w:tc>
      </w:tr>
      <w:tr>
        <w:trPr>
          <w:trHeight w:val="204"/>
        </w:trPr>
        <w:tc>
          <w:tcPr>
            <w:tcW w:w="8080" w:type="dxa"/>
            <w:vAlign w:val="bottom"/>
          </w:tcPr>
          <w:p>
            <w:pPr>
              <w:ind w:left="200"/>
              <w:spacing w:after="0"/>
              <w:rPr>
                <w:sz w:val="20"/>
                <w:szCs w:val="20"/>
                <w:color w:val="auto"/>
              </w:rPr>
            </w:pPr>
            <w:r>
              <w:rPr>
                <w:rFonts w:ascii="Arial" w:cs="Arial" w:eastAsia="Arial" w:hAnsi="Arial"/>
                <w:sz w:val="14"/>
                <w:szCs w:val="14"/>
                <w:color w:val="auto"/>
              </w:rPr>
              <w:t>Current portion of long-term debt</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1,799</w:t>
            </w:r>
          </w:p>
        </w:tc>
      </w:tr>
      <w:tr>
        <w:trPr>
          <w:trHeight w:val="198"/>
        </w:trPr>
        <w:tc>
          <w:tcPr>
            <w:tcW w:w="808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13,486</w:t>
            </w:r>
          </w:p>
        </w:tc>
      </w:tr>
      <w:tr>
        <w:trPr>
          <w:trHeight w:val="396"/>
        </w:trPr>
        <w:tc>
          <w:tcPr>
            <w:tcW w:w="8080" w:type="dxa"/>
            <w:vAlign w:val="bottom"/>
          </w:tcPr>
          <w:p>
            <w:pPr>
              <w:spacing w:after="0"/>
              <w:rPr>
                <w:sz w:val="20"/>
                <w:szCs w:val="20"/>
                <w:color w:val="auto"/>
              </w:rPr>
            </w:pPr>
            <w:r>
              <w:rPr>
                <w:rFonts w:ascii="Arial" w:cs="Arial" w:eastAsia="Arial" w:hAnsi="Arial"/>
                <w:sz w:val="14"/>
                <w:szCs w:val="14"/>
                <w:color w:val="auto"/>
              </w:rPr>
              <w:t>LONG-TERM DEBT</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94,006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92,134</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EQUIPMENT INSTALLMENT PLAN FINANCING FACILITY</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DEFERRED INCOME TAXES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19,841</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18,845</w:t>
            </w:r>
          </w:p>
        </w:tc>
      </w:tr>
      <w:tr>
        <w:trPr>
          <w:trHeight w:val="196"/>
        </w:trPr>
        <w:tc>
          <w:tcPr>
            <w:tcW w:w="808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4,776</w:t>
            </w:r>
          </w:p>
        </w:tc>
      </w:tr>
      <w:tr>
        <w:trPr>
          <w:trHeight w:val="397"/>
        </w:trPr>
        <w:tc>
          <w:tcPr>
            <w:tcW w:w="8080" w:type="dxa"/>
            <w:vAlign w:val="bottom"/>
          </w:tcPr>
          <w:p>
            <w:pPr>
              <w:spacing w:after="0"/>
              <w:rPr>
                <w:sz w:val="20"/>
                <w:szCs w:val="20"/>
                <w:color w:val="auto"/>
              </w:rPr>
            </w:pPr>
            <w:r>
              <w:rPr>
                <w:rFonts w:ascii="Arial" w:cs="Arial" w:eastAsia="Arial" w:hAnsi="Arial"/>
                <w:sz w:val="14"/>
                <w:szCs w:val="14"/>
                <w:color w:val="auto"/>
              </w:rPr>
              <w:t>SHAREHOLDERS'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080" w:type="dxa"/>
            <w:vAlign w:val="bottom"/>
          </w:tcPr>
          <w:p>
            <w:pPr>
              <w:ind w:left="200"/>
              <w:spacing w:after="0"/>
              <w:rPr>
                <w:sz w:val="20"/>
                <w:szCs w:val="20"/>
                <w:color w:val="auto"/>
              </w:rPr>
            </w:pPr>
            <w:r>
              <w:rPr>
                <w:rFonts w:ascii="Arial" w:cs="Arial" w:eastAsia="Arial" w:hAnsi="Arial"/>
                <w:sz w:val="14"/>
                <w:szCs w:val="14"/>
                <w:color w:val="auto"/>
              </w:rPr>
              <w:t>Controlling interest</w:t>
            </w:r>
          </w:p>
        </w:tc>
        <w:tc>
          <w:tcPr>
            <w:tcW w:w="5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16,054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15,587</w:t>
            </w:r>
          </w:p>
        </w:tc>
      </w:tr>
      <w:tr>
        <w:trPr>
          <w:trHeight w:val="204"/>
        </w:trPr>
        <w:tc>
          <w:tcPr>
            <w:tcW w:w="8080" w:type="dxa"/>
            <w:vAlign w:val="bottom"/>
          </w:tcPr>
          <w:p>
            <w:pPr>
              <w:ind w:left="200"/>
              <w:spacing w:after="0"/>
              <w:rPr>
                <w:sz w:val="20"/>
                <w:szCs w:val="20"/>
                <w:color w:val="auto"/>
              </w:rPr>
            </w:pPr>
            <w:r>
              <w:rPr>
                <w:rFonts w:ascii="Arial" w:cs="Arial" w:eastAsia="Arial" w:hAnsi="Arial"/>
                <w:sz w:val="14"/>
                <w:szCs w:val="14"/>
                <w:color w:val="auto"/>
              </w:rPr>
              <w:t>Noncontrolling interests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w:t>
            </w:r>
          </w:p>
        </w:tc>
      </w:tr>
      <w:tr>
        <w:trPr>
          <w:trHeight w:val="198"/>
        </w:trPr>
        <w:tc>
          <w:tcPr>
            <w:tcW w:w="8080" w:type="dxa"/>
            <w:vAlign w:val="bottom"/>
          </w:tcPr>
          <w:p>
            <w:pPr>
              <w:ind w:left="460"/>
              <w:spacing w:after="0"/>
              <w:rPr>
                <w:sz w:val="20"/>
                <w:szCs w:val="20"/>
                <w:color w:val="auto"/>
              </w:rPr>
            </w:pPr>
            <w:r>
              <w:rPr>
                <w:rFonts w:ascii="Arial" w:cs="Arial" w:eastAsia="Arial" w:hAnsi="Arial"/>
                <w:sz w:val="14"/>
                <w:szCs w:val="14"/>
                <w:color w:val="auto"/>
              </w:rPr>
              <w:t>Total shareholders' equity</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20,519</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19,707</w:t>
            </w:r>
          </w:p>
        </w:tc>
      </w:tr>
      <w:tr>
        <w:trPr>
          <w:trHeight w:val="403"/>
        </w:trPr>
        <w:tc>
          <w:tcPr>
            <w:tcW w:w="8080" w:type="dxa"/>
            <w:vAlign w:val="bottom"/>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154,213</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150,020</w:t>
            </w:r>
          </w:p>
        </w:tc>
      </w:tr>
      <w:tr>
        <w:trPr>
          <w:trHeight w:val="20"/>
        </w:trPr>
        <w:tc>
          <w:tcPr>
            <w:tcW w:w="8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3 of 7</w:t>
      </w:r>
    </w:p>
    <w:p>
      <w:pPr>
        <w:sectPr>
          <w:pgSz w:w="11900" w:h="16838" w:orient="portrait"/>
          <w:cols w:equalWidth="0" w:num="1">
            <w:col w:w="11180"/>
          </w:cols>
          <w:pgMar w:left="360" w:top="773" w:right="3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3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59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r>
      <w:tr>
        <w:trPr>
          <w:trHeight w:val="177"/>
        </w:trPr>
        <w:tc>
          <w:tcPr>
            <w:tcW w:w="59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Consolidated 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1,546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5,766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5,853</w:t>
            </w:r>
          </w:p>
        </w:tc>
      </w:tr>
      <w:tr>
        <w:trPr>
          <w:trHeight w:val="201"/>
        </w:trPr>
        <w:tc>
          <w:tcPr>
            <w:tcW w:w="5920" w:type="dxa"/>
            <w:vAlign w:val="bottom"/>
          </w:tcPr>
          <w:p>
            <w:pPr>
              <w:ind w:left="120"/>
              <w:spacing w:after="0"/>
              <w:rPr>
                <w:sz w:val="20"/>
                <w:szCs w:val="20"/>
                <w:color w:val="auto"/>
              </w:rPr>
            </w:pPr>
            <w:r>
              <w:rPr>
                <w:rFonts w:ascii="Arial" w:cs="Arial" w:eastAsia="Arial" w:hAnsi="Arial"/>
                <w:sz w:val="14"/>
                <w:szCs w:val="14"/>
                <w:color w:val="auto"/>
              </w:rPr>
              <w:t>Adjustments to reconcile consolidated net income to net cash flows from operating</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0"/>
        </w:trPr>
        <w:tc>
          <w:tcPr>
            <w:tcW w:w="59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8,711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8,673</w:t>
            </w: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Stock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651</w:t>
            </w: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Noncash interest,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201"/>
        </w:trPr>
        <w:tc>
          <w:tcPr>
            <w:tcW w:w="592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effects from acquisitions and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0"/>
        </w:trPr>
        <w:tc>
          <w:tcPr>
            <w:tcW w:w="5920" w:type="dxa"/>
            <w:vAlign w:val="bottom"/>
          </w:tcPr>
          <w:p>
            <w:pPr>
              <w:ind w:left="120"/>
              <w:spacing w:after="0"/>
              <w:rPr>
                <w:sz w:val="20"/>
                <w:szCs w:val="20"/>
                <w:color w:val="auto"/>
              </w:rPr>
            </w:pPr>
            <w:r>
              <w:rPr>
                <w:rFonts w:ascii="Arial" w:cs="Arial" w:eastAsia="Arial" w:hAnsi="Arial"/>
                <w:sz w:val="14"/>
                <w:szCs w:val="14"/>
                <w:color w:val="auto"/>
              </w:rPr>
              <w:t>dispositions: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03"/>
        </w:trPr>
        <w:tc>
          <w:tcPr>
            <w:tcW w:w="5920" w:type="dxa"/>
            <w:vAlign w:val="bottom"/>
          </w:tcPr>
          <w:p>
            <w:pPr>
              <w:ind w:left="20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4"/>
        </w:trPr>
        <w:tc>
          <w:tcPr>
            <w:tcW w:w="5920" w:type="dxa"/>
            <w:vAlign w:val="bottom"/>
          </w:tcPr>
          <w:p>
            <w:pPr>
              <w:ind w:left="200"/>
              <w:spacing w:after="0"/>
              <w:rPr>
                <w:sz w:val="20"/>
                <w:szCs w:val="20"/>
                <w:color w:val="auto"/>
              </w:rPr>
            </w:pPr>
            <w:r>
              <w:rPr>
                <w:rFonts w:ascii="Arial" w:cs="Arial" w:eastAsia="Arial" w:hAnsi="Arial"/>
                <w:sz w:val="14"/>
                <w:szCs w:val="14"/>
                <w:color w:val="auto"/>
              </w:rPr>
              <w:t>Accounts payable, accrued liabilities and 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r>
      <w:tr>
        <w:trPr>
          <w:trHeight w:val="196"/>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operating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16,077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14,430</w:t>
            </w:r>
          </w:p>
        </w:tc>
      </w:tr>
      <w:tr>
        <w:trPr>
          <w:trHeight w:val="397"/>
        </w:trPr>
        <w:tc>
          <w:tcPr>
            <w:tcW w:w="59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(11,269)</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Change in accrued expenses related to capital expenditures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1,096</w:t>
            </w:r>
          </w:p>
        </w:tc>
      </w:tr>
      <w:tr>
        <w:trPr>
          <w:trHeight w:val="204"/>
        </w:trPr>
        <w:tc>
          <w:tcPr>
            <w:tcW w:w="59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196"/>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investing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(10,654)</w:t>
            </w:r>
          </w:p>
        </w:tc>
      </w:tr>
      <w:tr>
        <w:trPr>
          <w:trHeight w:val="397"/>
        </w:trPr>
        <w:tc>
          <w:tcPr>
            <w:tcW w:w="59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Borrowings of 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15,485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25,893</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Borrowings of equipment installment plan financing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Repayments of 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(29,660)</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Payments for debt issuance costs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 of treasury stock</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(1,213)</w:t>
            </w:r>
          </w:p>
        </w:tc>
      </w:tr>
      <w:tr>
        <w:trPr>
          <w:trHeight w:val="202"/>
        </w:trPr>
        <w:tc>
          <w:tcPr>
            <w:tcW w:w="5920" w:type="dxa"/>
            <w:vAlign w:val="bottom"/>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Purchase of noncontrolling interest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4"/>
        </w:trPr>
        <w:tc>
          <w:tcPr>
            <w:tcW w:w="59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r>
      <w:tr>
        <w:trPr>
          <w:trHeight w:val="196"/>
        </w:trPr>
        <w:tc>
          <w:tcPr>
            <w:tcW w:w="5920" w:type="dxa"/>
            <w:vAlign w:val="bottom"/>
          </w:tcPr>
          <w:p>
            <w:pPr>
              <w:ind w:left="320"/>
              <w:spacing w:after="0"/>
              <w:rPr>
                <w:sz w:val="20"/>
                <w:szCs w:val="20"/>
                <w:color w:val="auto"/>
              </w:rPr>
            </w:pPr>
            <w:r>
              <w:rPr>
                <w:rFonts w:ascii="Arial" w:cs="Arial" w:eastAsia="Arial" w:hAnsi="Arial"/>
                <w:sz w:val="14"/>
                <w:szCs w:val="14"/>
                <w:color w:val="auto"/>
              </w:rPr>
              <w:t>Net cash flows from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w:t>
            </w:r>
          </w:p>
        </w:tc>
      </w:tr>
      <w:tr>
        <w:trPr>
          <w:trHeight w:val="424"/>
        </w:trPr>
        <w:tc>
          <w:tcPr>
            <w:tcW w:w="592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04"/>
        </w:trPr>
        <w:tc>
          <w:tcPr>
            <w:tcW w:w="5920" w:type="dxa"/>
            <w:vAlign w:val="bottom"/>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r>
      <w:tr>
        <w:trPr>
          <w:trHeight w:val="198"/>
        </w:trPr>
        <w:tc>
          <w:tcPr>
            <w:tcW w:w="5920" w:type="dxa"/>
            <w:vAlign w:val="bottom"/>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25"/>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81"/>
        </w:trPr>
        <w:tc>
          <w:tcPr>
            <w:tcW w:w="59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5,334</w:t>
            </w:r>
          </w:p>
        </w:tc>
      </w:tr>
      <w:tr>
        <w:trPr>
          <w:trHeight w:val="25"/>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As of December 31, 2025, September 2025, December 31, 2024 and September 2024, cash, cash equivalents and restricted cash includes $121 million, $57 million, $47 million and $29 million of restricted cash included in prepaid expenses and other current assets in the consolidated balance sheets,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7</w:t>
      </w:r>
    </w:p>
    <w:p>
      <w:pPr>
        <w:sectPr>
          <w:pgSz w:w="11900" w:h="16838" w:orient="portrait"/>
          <w:cols w:equalWidth="0" w:num="1">
            <w:col w:w="11240"/>
          </w:cols>
          <w:pgMar w:left="320" w:top="530"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SUMMARY OF OPERATING STATISTICS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customer and penetration data)</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Approximate as of</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December 31, 2025</w:t>
            </w:r>
          </w:p>
        </w:tc>
        <w:tc>
          <w:tcPr>
            <w:tcW w:w="16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September 30, 2025</w:t>
            </w:r>
          </w:p>
        </w:tc>
        <w:tc>
          <w:tcPr>
            <w:tcW w:w="1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27"/>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(d)</w:t>
            </w:r>
          </w:p>
        </w:tc>
        <w:tc>
          <w:tcPr>
            <w:tcW w:w="1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(d)</w:t>
            </w: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rPr>
              <w:t>(d)</w:t>
            </w:r>
          </w:p>
        </w:tc>
        <w:tc>
          <w:tcPr>
            <w:tcW w:w="0" w:type="dxa"/>
            <w:vAlign w:val="bottom"/>
          </w:tcPr>
          <w:p>
            <w:pPr>
              <w:spacing w:after="0"/>
              <w:rPr>
                <w:sz w:val="1"/>
                <w:szCs w:val="1"/>
                <w:color w:val="auto"/>
              </w:rPr>
            </w:pPr>
          </w:p>
        </w:tc>
      </w:tr>
      <w:tr>
        <w:trPr>
          <w:trHeight w:val="22"/>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Footprint</w:t>
            </w: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300" w:type="dxa"/>
            <w:vAlign w:val="bottom"/>
            <w:tcBorders>
              <w:bottom w:val="single" w:sz="8" w:color="auto"/>
            </w:tcBorders>
            <w:vMerge w:val="continue"/>
          </w:tcPr>
          <w:p>
            <w:pPr>
              <w:spacing w:after="0"/>
              <w:rPr>
                <w:sz w:val="15"/>
                <w:szCs w:val="15"/>
                <w:color w:val="auto"/>
              </w:rPr>
            </w:pPr>
          </w:p>
        </w:tc>
        <w:tc>
          <w:tcPr>
            <w:tcW w:w="1740" w:type="dxa"/>
            <w:vAlign w:val="bottom"/>
            <w:gridSpan w:val="2"/>
            <w:vMerge w:val="restart"/>
          </w:tcPr>
          <w:p>
            <w:pPr>
              <w:jc w:val="right"/>
              <w:ind w:right="141"/>
              <w:spacing w:after="0"/>
              <w:rPr>
                <w:sz w:val="20"/>
                <w:szCs w:val="20"/>
                <w:color w:val="auto"/>
              </w:rPr>
            </w:pPr>
            <w:r>
              <w:rPr>
                <w:rFonts w:ascii="Arial" w:cs="Arial" w:eastAsia="Arial" w:hAnsi="Arial"/>
                <w:sz w:val="14"/>
                <w:szCs w:val="14"/>
                <w:color w:val="auto"/>
              </w:rPr>
              <w:t>58,399</w:t>
            </w:r>
          </w:p>
        </w:tc>
        <w:tc>
          <w:tcPr>
            <w:tcW w:w="100" w:type="dxa"/>
            <w:vAlign w:val="bottom"/>
          </w:tcPr>
          <w:p>
            <w:pPr>
              <w:spacing w:after="0"/>
              <w:rPr>
                <w:sz w:val="15"/>
                <w:szCs w:val="15"/>
                <w:color w:val="auto"/>
              </w:rPr>
            </w:pPr>
          </w:p>
        </w:tc>
        <w:tc>
          <w:tcPr>
            <w:tcW w:w="1480" w:type="dxa"/>
            <w:vAlign w:val="bottom"/>
            <w:vMerge w:val="restart"/>
          </w:tcPr>
          <w:p>
            <w:pPr>
              <w:jc w:val="right"/>
              <w:ind w:right="114"/>
              <w:spacing w:after="0"/>
              <w:rPr>
                <w:sz w:val="20"/>
                <w:szCs w:val="20"/>
                <w:color w:val="auto"/>
              </w:rPr>
            </w:pPr>
            <w:r>
              <w:rPr>
                <w:rFonts w:ascii="Arial" w:cs="Arial" w:eastAsia="Arial" w:hAnsi="Arial"/>
                <w:sz w:val="14"/>
                <w:szCs w:val="14"/>
                <w:color w:val="auto"/>
              </w:rPr>
              <w:t>57,940</w:t>
            </w:r>
          </w:p>
        </w:tc>
        <w:tc>
          <w:tcPr>
            <w:tcW w:w="120" w:type="dxa"/>
            <w:vAlign w:val="bottom"/>
          </w:tcPr>
          <w:p>
            <w:pPr>
              <w:spacing w:after="0"/>
              <w:rPr>
                <w:sz w:val="15"/>
                <w:szCs w:val="15"/>
                <w:color w:val="auto"/>
              </w:rPr>
            </w:pPr>
          </w:p>
        </w:tc>
        <w:tc>
          <w:tcPr>
            <w:tcW w:w="1460" w:type="dxa"/>
            <w:vAlign w:val="bottom"/>
            <w:vMerge w:val="restart"/>
          </w:tcPr>
          <w:p>
            <w:pPr>
              <w:jc w:val="right"/>
              <w:ind w:right="116"/>
              <w:spacing w:after="0"/>
              <w:rPr>
                <w:sz w:val="20"/>
                <w:szCs w:val="20"/>
                <w:color w:val="auto"/>
              </w:rPr>
            </w:pPr>
            <w:r>
              <w:rPr>
                <w:rFonts w:ascii="Arial" w:cs="Arial" w:eastAsia="Arial" w:hAnsi="Arial"/>
                <w:sz w:val="14"/>
                <w:szCs w:val="14"/>
                <w:color w:val="auto"/>
              </w:rPr>
              <w:t>56,861</w:t>
            </w:r>
          </w:p>
        </w:tc>
        <w:tc>
          <w:tcPr>
            <w:tcW w:w="0" w:type="dxa"/>
            <w:vAlign w:val="bottom"/>
          </w:tcPr>
          <w:p>
            <w:pPr>
              <w:spacing w:after="0"/>
              <w:rPr>
                <w:sz w:val="1"/>
                <w:szCs w:val="1"/>
                <w:color w:val="auto"/>
              </w:rPr>
            </w:pPr>
          </w:p>
        </w:tc>
      </w:tr>
      <w:tr>
        <w:trPr>
          <w:trHeight w:val="199"/>
        </w:trPr>
        <w:tc>
          <w:tcPr>
            <w:tcW w:w="6300" w:type="dxa"/>
            <w:vAlign w:val="bottom"/>
          </w:tcPr>
          <w:p>
            <w:pPr>
              <w:ind w:left="180"/>
              <w:spacing w:after="0" w:line="199" w:lineRule="exact"/>
              <w:rPr>
                <w:sz w:val="20"/>
                <w:szCs w:val="20"/>
                <w:color w:val="auto"/>
              </w:rPr>
            </w:pPr>
            <w:r>
              <w:rPr>
                <w:rFonts w:ascii="Arial" w:cs="Arial" w:eastAsia="Arial" w:hAnsi="Arial"/>
                <w:sz w:val="14"/>
                <w:szCs w:val="14"/>
                <w:color w:val="auto"/>
              </w:rPr>
              <w:t xml:space="preserve">Estimated Passings </w:t>
            </w:r>
            <w:r>
              <w:rPr>
                <w:rFonts w:ascii="Arial" w:cs="Arial" w:eastAsia="Arial" w:hAnsi="Arial"/>
                <w:sz w:val="18"/>
                <w:szCs w:val="18"/>
                <w:color w:val="auto"/>
                <w:vertAlign w:val="superscript"/>
              </w:rPr>
              <w:t>(e)</w:t>
            </w:r>
          </w:p>
        </w:tc>
        <w:tc>
          <w:tcPr>
            <w:tcW w:w="1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 xml:space="preserve">Customer Relationships </w:t>
            </w:r>
            <w:r>
              <w:rPr>
                <w:rFonts w:ascii="Arial" w:cs="Arial" w:eastAsia="Arial" w:hAnsi="Arial"/>
                <w:sz w:val="18"/>
                <w:szCs w:val="18"/>
                <w:b w:val="1"/>
                <w:bCs w:val="1"/>
                <w:color w:val="auto"/>
                <w:vertAlign w:val="superscript"/>
              </w:rPr>
              <w:t>(c) (f)</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99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p>
      <w:pPr>
        <w:ind w:left="200"/>
        <w:spacing w:after="0"/>
        <w:rPr>
          <w:sz w:val="20"/>
          <w:szCs w:val="20"/>
          <w:color w:val="auto"/>
        </w:rPr>
      </w:pPr>
      <w:r>
        <w:rPr>
          <w:rFonts w:ascii="Arial" w:cs="Arial" w:eastAsia="Arial" w:hAnsi="Arial"/>
          <w:sz w:val="14"/>
          <w:szCs w:val="14"/>
          <w:color w:val="auto"/>
        </w:rPr>
        <w:t>Residential</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Small Business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Customer Relationships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Residential</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Small Business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Customer Relationships Quarterly Net Additions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Total Customer Relationship Penetration of Estimated Passings </w:t>
      </w:r>
      <w:r>
        <w:rPr>
          <w:rFonts w:ascii="Arial" w:cs="Arial" w:eastAsia="Arial" w:hAnsi="Arial"/>
          <w:sz w:val="18"/>
          <w:szCs w:val="18"/>
          <w:color w:val="auto"/>
          <w:vertAlign w:val="superscript"/>
        </w:rPr>
        <w:t>(g)</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Monthly Residential Revenue per Residential Customer </w:t>
      </w:r>
      <w:r>
        <w:rPr>
          <w:rFonts w:ascii="Arial" w:cs="Arial" w:eastAsia="Arial" w:hAnsi="Arial"/>
          <w:sz w:val="18"/>
          <w:szCs w:val="18"/>
          <w:color w:val="auto"/>
          <w:vertAlign w:val="superscript"/>
        </w:rPr>
        <w:t>(h)</w:t>
      </w:r>
    </w:p>
    <w:p>
      <w:pPr>
        <w:ind w:left="200"/>
        <w:spacing w:after="0"/>
        <w:rPr>
          <w:sz w:val="20"/>
          <w:szCs w:val="20"/>
          <w:color w:val="auto"/>
        </w:rPr>
      </w:pPr>
      <w:r>
        <w:rPr>
          <w:rFonts w:ascii="Arial" w:cs="Arial" w:eastAsia="Arial" w:hAnsi="Arial"/>
          <w:sz w:val="14"/>
          <w:szCs w:val="14"/>
          <w:color w:val="auto"/>
        </w:rPr>
        <w:t xml:space="preserve">Monthly Small Business Revenue per Small Business Customer </w:t>
      </w:r>
      <w:r>
        <w:rPr>
          <w:rFonts w:ascii="Arial" w:cs="Arial" w:eastAsia="Arial" w:hAnsi="Arial"/>
          <w:sz w:val="18"/>
          <w:szCs w:val="18"/>
          <w:color w:val="auto"/>
          <w:vertAlign w:val="superscript"/>
        </w:rPr>
        <w:t>(i)</w:t>
      </w:r>
    </w:p>
    <w:p>
      <w:pPr>
        <w:ind w:left="40"/>
        <w:spacing w:after="0"/>
        <w:rPr>
          <w:sz w:val="20"/>
          <w:szCs w:val="20"/>
          <w:color w:val="auto"/>
        </w:rPr>
      </w:pPr>
      <w:r>
        <w:rPr>
          <w:rFonts w:ascii="Arial" w:cs="Arial" w:eastAsia="Arial" w:hAnsi="Arial"/>
          <w:sz w:val="14"/>
          <w:szCs w:val="14"/>
          <w:b w:val="1"/>
          <w:bCs w:val="1"/>
          <w:color w:val="auto"/>
        </w:rPr>
        <w:t xml:space="preserve">Residential Customer Relationships Penetration </w:t>
      </w:r>
      <w:r>
        <w:rPr>
          <w:rFonts w:ascii="Arial" w:cs="Arial" w:eastAsia="Arial" w:hAnsi="Arial"/>
          <w:sz w:val="18"/>
          <w:szCs w:val="18"/>
          <w:b w:val="1"/>
          <w:bCs w:val="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399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 xml:space="preserve">One Product Penetration </w:t>
      </w:r>
      <w:r>
        <w:rPr>
          <w:rFonts w:ascii="Arial" w:cs="Arial" w:eastAsia="Arial" w:hAnsi="Arial"/>
          <w:sz w:val="18"/>
          <w:szCs w:val="18"/>
          <w:color w:val="auto"/>
          <w:vertAlign w:val="superscript"/>
        </w:rPr>
        <w:t>(j)</w:t>
      </w:r>
    </w:p>
    <w:p>
      <w:pPr>
        <w:ind w:left="200"/>
        <w:spacing w:after="0" w:line="234" w:lineRule="auto"/>
        <w:rPr>
          <w:sz w:val="20"/>
          <w:szCs w:val="20"/>
          <w:color w:val="auto"/>
        </w:rPr>
      </w:pPr>
      <w:r>
        <w:rPr>
          <w:rFonts w:ascii="Arial" w:cs="Arial" w:eastAsia="Arial" w:hAnsi="Arial"/>
          <w:sz w:val="14"/>
          <w:szCs w:val="14"/>
          <w:color w:val="auto"/>
        </w:rPr>
        <w:t xml:space="preserve">Two Product Penetration </w:t>
      </w:r>
      <w:r>
        <w:rPr>
          <w:rFonts w:ascii="Arial" w:cs="Arial" w:eastAsia="Arial" w:hAnsi="Arial"/>
          <w:sz w:val="18"/>
          <w:szCs w:val="18"/>
          <w:color w:val="auto"/>
          <w:vertAlign w:val="superscript"/>
        </w:rPr>
        <w:t>(j)</w:t>
      </w:r>
    </w:p>
    <w:p>
      <w:pPr>
        <w:ind w:left="200"/>
        <w:spacing w:after="0" w:line="235" w:lineRule="auto"/>
        <w:rPr>
          <w:sz w:val="20"/>
          <w:szCs w:val="20"/>
          <w:color w:val="auto"/>
        </w:rPr>
      </w:pPr>
      <w:r>
        <w:rPr>
          <w:rFonts w:ascii="Arial" w:cs="Arial" w:eastAsia="Arial" w:hAnsi="Arial"/>
          <w:sz w:val="14"/>
          <w:szCs w:val="14"/>
          <w:color w:val="auto"/>
        </w:rPr>
        <w:t xml:space="preserve">Three or More Product Penetration </w:t>
      </w:r>
      <w:r>
        <w:rPr>
          <w:rFonts w:ascii="Arial" w:cs="Arial" w:eastAsia="Arial" w:hAnsi="Arial"/>
          <w:sz w:val="18"/>
          <w:szCs w:val="18"/>
          <w:color w:val="auto"/>
          <w:vertAlign w:val="superscript"/>
        </w:rPr>
        <w:t>(j)</w:t>
      </w:r>
    </w:p>
    <w:p>
      <w:pPr>
        <w:ind w:left="40"/>
        <w:spacing w:after="0" w:line="224" w:lineRule="auto"/>
        <w:rPr>
          <w:sz w:val="20"/>
          <w:szCs w:val="20"/>
          <w:color w:val="auto"/>
        </w:rPr>
      </w:pPr>
      <w:r>
        <w:rPr>
          <w:rFonts w:ascii="Arial" w:cs="Arial" w:eastAsia="Arial" w:hAnsi="Arial"/>
          <w:sz w:val="14"/>
          <w:szCs w:val="14"/>
          <w:b w:val="1"/>
          <w:bCs w:val="1"/>
          <w:color w:val="auto"/>
        </w:rPr>
        <w:t xml:space="preserve">Connectivity </w:t>
      </w:r>
      <w:r>
        <w:rPr>
          <w:rFonts w:ascii="Arial" w:cs="Arial" w:eastAsia="Arial" w:hAnsi="Arial"/>
          <w:sz w:val="18"/>
          <w:szCs w:val="18"/>
          <w:b w:val="1"/>
          <w:bCs w:val="1"/>
          <w:color w:val="auto"/>
          <w:vertAlign w:val="superscript"/>
        </w:rPr>
        <w:t>(c)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29,609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29,734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29,964</w:t>
            </w:r>
          </w:p>
        </w:tc>
      </w:tr>
      <w:tr>
        <w:trPr>
          <w:trHeight w:val="194"/>
        </w:trPr>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2,237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2,239</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2,250</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31,846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31,973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32,214</w:t>
            </w:r>
          </w:p>
        </w:tc>
      </w:tr>
      <w:tr>
        <w:trPr>
          <w:trHeight w:val="233"/>
        </w:trPr>
        <w:tc>
          <w:tcPr>
            <w:tcW w:w="480" w:type="dxa"/>
            <w:vAlign w:val="bottom"/>
          </w:tcPr>
          <w:p>
            <w:pPr>
              <w:spacing w:after="0"/>
              <w:rPr>
                <w:sz w:val="20"/>
                <w:szCs w:val="20"/>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(150)</w:t>
            </w:r>
          </w:p>
        </w:tc>
      </w:tr>
      <w:tr>
        <w:trPr>
          <w:trHeight w:val="20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w:t>
            </w:r>
          </w:p>
        </w:tc>
      </w:tr>
      <w:tr>
        <w:trPr>
          <w:trHeight w:val="233"/>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55.2 %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56.7 %</w:t>
            </w:r>
          </w:p>
        </w:tc>
      </w:tr>
      <w:tr>
        <w:trPr>
          <w:trHeight w:val="256"/>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117.19</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119.16</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118.65</w:t>
            </w:r>
          </w:p>
        </w:tc>
      </w:tr>
      <w:tr>
        <w:trPr>
          <w:trHeight w:val="203"/>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159.85</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161.97</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160.88</w:t>
            </w:r>
          </w:p>
        </w:tc>
      </w:tr>
      <w:tr>
        <w:trPr>
          <w:trHeight w:val="418"/>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48.0 %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48.5 %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48.8 %</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34.5 %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33.1 %</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18.0 %</w:t>
            </w:r>
          </w:p>
        </w:tc>
      </w:tr>
    </w:tbl>
    <w:p>
      <w:pPr>
        <w:spacing w:after="0" w:line="211" w:lineRule="exact"/>
        <w:rPr>
          <w:sz w:val="20"/>
          <w:szCs w:val="20"/>
          <w:color w:val="auto"/>
        </w:rPr>
      </w:pPr>
    </w:p>
    <w:p>
      <w:pPr>
        <w:sectPr>
          <w:pgSz w:w="11900" w:h="16838" w:orient="portrait"/>
          <w:cols w:equalWidth="0" w:num="2">
            <w:col w:w="5860" w:space="720"/>
            <w:col w:w="4640"/>
          </w:cols>
          <w:pgMar w:left="320" w:top="530" w:right="35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63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28,563</w:t>
            </w:r>
          </w:p>
        </w:tc>
        <w:tc>
          <w:tcPr>
            <w:tcW w:w="10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28,658</w:t>
            </w:r>
          </w:p>
        </w:tc>
        <w:tc>
          <w:tcPr>
            <w:tcW w:w="12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28,763</w:t>
            </w:r>
          </w:p>
        </w:tc>
        <w:tc>
          <w:tcPr>
            <w:tcW w:w="0" w:type="dxa"/>
            <w:vAlign w:val="bottom"/>
          </w:tcPr>
          <w:p>
            <w:pPr>
              <w:spacing w:after="0"/>
              <w:rPr>
                <w:sz w:val="1"/>
                <w:szCs w:val="1"/>
                <w:color w:val="auto"/>
              </w:rPr>
            </w:pPr>
          </w:p>
        </w:tc>
      </w:tr>
      <w:tr>
        <w:trPr>
          <w:trHeight w:val="202"/>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98"/>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Connectivity Customers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30,640</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30,735</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30,845</w:t>
            </w:r>
          </w:p>
        </w:tc>
        <w:tc>
          <w:tcPr>
            <w:tcW w:w="0" w:type="dxa"/>
            <w:vAlign w:val="bottom"/>
          </w:tcPr>
          <w:p>
            <w:pPr>
              <w:spacing w:after="0"/>
              <w:rPr>
                <w:sz w:val="1"/>
                <w:szCs w:val="1"/>
                <w:color w:val="auto"/>
              </w:rPr>
            </w:pPr>
          </w:p>
        </w:tc>
      </w:tr>
      <w:tr>
        <w:trPr>
          <w:trHeight w:val="233"/>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0"/>
                <w:szCs w:val="20"/>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0"/>
                <w:szCs w:val="20"/>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Connectivity Quarterly Net Additions</w:t>
            </w:r>
          </w:p>
        </w:tc>
        <w:tc>
          <w:tcPr>
            <w:tcW w:w="1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Internet</w:t>
            </w:r>
          </w:p>
        </w:tc>
        <w:tc>
          <w:tcPr>
            <w:tcW w:w="26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color w:val="auto"/>
              </w:rPr>
              <w:t>27,641</w:t>
            </w:r>
          </w:p>
        </w:tc>
        <w:tc>
          <w:tcPr>
            <w:tcW w:w="100" w:type="dxa"/>
            <w:vAlign w:val="bottom"/>
          </w:tcPr>
          <w:p>
            <w:pPr>
              <w:spacing w:after="0"/>
              <w:rPr>
                <w:sz w:val="16"/>
                <w:szCs w:val="16"/>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27,760</w:t>
            </w:r>
          </w:p>
        </w:tc>
        <w:tc>
          <w:tcPr>
            <w:tcW w:w="120" w:type="dxa"/>
            <w:vAlign w:val="bottom"/>
          </w:tcPr>
          <w:p>
            <w:pPr>
              <w:spacing w:after="0"/>
              <w:rPr>
                <w:sz w:val="16"/>
                <w:szCs w:val="16"/>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28,034</w:t>
            </w:r>
          </w:p>
        </w:tc>
        <w:tc>
          <w:tcPr>
            <w:tcW w:w="0" w:type="dxa"/>
            <w:vAlign w:val="bottom"/>
          </w:tcPr>
          <w:p>
            <w:pPr>
              <w:spacing w:after="0"/>
              <w:rPr>
                <w:sz w:val="1"/>
                <w:szCs w:val="1"/>
                <w:color w:val="auto"/>
              </w:rPr>
            </w:pPr>
          </w:p>
        </w:tc>
      </w:tr>
      <w:tr>
        <w:trPr>
          <w:trHeight w:val="189"/>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 xml:space="preserve">Small Business </w:t>
            </w:r>
            <w:r>
              <w:rPr>
                <w:rFonts w:ascii="Arial" w:cs="Arial" w:eastAsia="Arial" w:hAnsi="Arial"/>
                <w:sz w:val="18"/>
                <w:szCs w:val="18"/>
                <w:color w:val="auto"/>
                <w:vertAlign w:val="superscript"/>
              </w:rPr>
              <w:t>(c)</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2,039</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92"/>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Internet Customers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29,680</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29,799</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30,083</w:t>
            </w:r>
          </w:p>
        </w:tc>
        <w:tc>
          <w:tcPr>
            <w:tcW w:w="0" w:type="dxa"/>
            <w:vAlign w:val="bottom"/>
          </w:tcPr>
          <w:p>
            <w:pPr>
              <w:spacing w:after="0"/>
              <w:rPr>
                <w:sz w:val="1"/>
                <w:szCs w:val="1"/>
                <w:color w:val="auto"/>
              </w:rPr>
            </w:pPr>
          </w:p>
        </w:tc>
      </w:tr>
      <w:tr>
        <w:trPr>
          <w:trHeight w:val="233"/>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0"/>
                <w:szCs w:val="20"/>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0"/>
                <w:szCs w:val="20"/>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10"/>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 xml:space="preserve">Small Business </w:t>
            </w:r>
            <w:r>
              <w:rPr>
                <w:rFonts w:ascii="Arial" w:cs="Arial" w:eastAsia="Arial" w:hAnsi="Arial"/>
                <w:sz w:val="18"/>
                <w:szCs w:val="18"/>
                <w:color w:val="auto"/>
                <w:vertAlign w:val="superscript"/>
              </w:rPr>
              <w:t>(c)</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Internet Quarterly Net Additions</w:t>
            </w:r>
          </w:p>
        </w:tc>
        <w:tc>
          <w:tcPr>
            <w:tcW w:w="1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6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Mobile Lines </w:t>
            </w:r>
            <w:r>
              <w:rPr>
                <w:rFonts w:ascii="Arial" w:cs="Arial" w:eastAsia="Arial" w:hAnsi="Arial"/>
                <w:sz w:val="18"/>
                <w:szCs w:val="18"/>
                <w:b w:val="1"/>
                <w:bCs w:val="1"/>
                <w:color w:val="auto"/>
                <w:vertAlign w:val="superscript"/>
              </w:rPr>
              <w:t>(c) (k)</w:t>
            </w:r>
          </w:p>
        </w:tc>
        <w:tc>
          <w:tcPr>
            <w:tcW w:w="26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color w:val="auto"/>
              </w:rPr>
              <w:t>11,370</w:t>
            </w:r>
          </w:p>
        </w:tc>
        <w:tc>
          <w:tcPr>
            <w:tcW w:w="100" w:type="dxa"/>
            <w:vAlign w:val="bottom"/>
          </w:tcPr>
          <w:p>
            <w:pPr>
              <w:spacing w:after="0"/>
              <w:rPr>
                <w:sz w:val="16"/>
                <w:szCs w:val="16"/>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10,964</w:t>
            </w:r>
          </w:p>
        </w:tc>
        <w:tc>
          <w:tcPr>
            <w:tcW w:w="120" w:type="dxa"/>
            <w:vAlign w:val="bottom"/>
          </w:tcPr>
          <w:p>
            <w:pPr>
              <w:spacing w:after="0"/>
              <w:rPr>
                <w:sz w:val="16"/>
                <w:szCs w:val="16"/>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9,543</w:t>
            </w:r>
          </w:p>
        </w:tc>
        <w:tc>
          <w:tcPr>
            <w:tcW w:w="0" w:type="dxa"/>
            <w:vAlign w:val="bottom"/>
          </w:tcPr>
          <w:p>
            <w:pPr>
              <w:spacing w:after="0"/>
              <w:rPr>
                <w:sz w:val="1"/>
                <w:szCs w:val="1"/>
                <w:color w:val="auto"/>
              </w:rPr>
            </w:pPr>
          </w:p>
        </w:tc>
      </w:tr>
      <w:tr>
        <w:trPr>
          <w:trHeight w:val="188"/>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8"/>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Mobile Lines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11,766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11,338</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9,858</w:t>
            </w:r>
          </w:p>
        </w:tc>
        <w:tc>
          <w:tcPr>
            <w:tcW w:w="0" w:type="dxa"/>
            <w:vAlign w:val="bottom"/>
          </w:tcPr>
          <w:p>
            <w:pPr>
              <w:spacing w:after="0"/>
              <w:rPr>
                <w:sz w:val="1"/>
                <w:szCs w:val="1"/>
                <w:color w:val="auto"/>
              </w:rPr>
            </w:pPr>
          </w:p>
        </w:tc>
      </w:tr>
      <w:tr>
        <w:trPr>
          <w:trHeight w:val="233"/>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0"/>
                <w:szCs w:val="20"/>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0"/>
                <w:szCs w:val="20"/>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Mobile Lines Quarterly Net Additions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8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Video</w:t>
            </w:r>
          </w:p>
        </w:tc>
        <w:tc>
          <w:tcPr>
            <w:tcW w:w="26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color w:val="auto"/>
              </w:rPr>
              <w:t>12,072</w:t>
            </w:r>
          </w:p>
        </w:tc>
        <w:tc>
          <w:tcPr>
            <w:tcW w:w="100" w:type="dxa"/>
            <w:vAlign w:val="bottom"/>
          </w:tcPr>
          <w:p>
            <w:pPr>
              <w:spacing w:after="0"/>
              <w:rPr>
                <w:sz w:val="16"/>
                <w:szCs w:val="16"/>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12,023</w:t>
            </w:r>
          </w:p>
        </w:tc>
        <w:tc>
          <w:tcPr>
            <w:tcW w:w="120" w:type="dxa"/>
            <w:vAlign w:val="bottom"/>
          </w:tcPr>
          <w:p>
            <w:pPr>
              <w:spacing w:after="0"/>
              <w:rPr>
                <w:sz w:val="16"/>
                <w:szCs w:val="16"/>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12,327</w:t>
            </w:r>
          </w:p>
        </w:tc>
        <w:tc>
          <w:tcPr>
            <w:tcW w:w="0" w:type="dxa"/>
            <w:vAlign w:val="bottom"/>
          </w:tcPr>
          <w:p>
            <w:pPr>
              <w:spacing w:after="0"/>
              <w:rPr>
                <w:sz w:val="1"/>
                <w:szCs w:val="1"/>
                <w:color w:val="auto"/>
              </w:rPr>
            </w:pPr>
          </w:p>
        </w:tc>
      </w:tr>
      <w:tr>
        <w:trPr>
          <w:trHeight w:val="189"/>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98"/>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Video Customers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12,605</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12,561</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12,892</w:t>
            </w:r>
          </w:p>
        </w:tc>
        <w:tc>
          <w:tcPr>
            <w:tcW w:w="0" w:type="dxa"/>
            <w:vAlign w:val="bottom"/>
          </w:tcPr>
          <w:p>
            <w:pPr>
              <w:spacing w:after="0"/>
              <w:rPr>
                <w:sz w:val="1"/>
                <w:szCs w:val="1"/>
                <w:color w:val="auto"/>
              </w:rPr>
            </w:pPr>
          </w:p>
        </w:tc>
      </w:tr>
      <w:tr>
        <w:trPr>
          <w:trHeight w:val="233"/>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0"/>
                <w:szCs w:val="20"/>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Video Quarterly Net Additions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Voice</w:t>
            </w:r>
          </w:p>
        </w:tc>
        <w:tc>
          <w:tcPr>
            <w:tcW w:w="26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16"/>
                <w:szCs w:val="16"/>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4,967</w:t>
            </w:r>
          </w:p>
        </w:tc>
        <w:tc>
          <w:tcPr>
            <w:tcW w:w="120" w:type="dxa"/>
            <w:vAlign w:val="bottom"/>
          </w:tcPr>
          <w:p>
            <w:pPr>
              <w:spacing w:after="0"/>
              <w:rPr>
                <w:sz w:val="16"/>
                <w:szCs w:val="16"/>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189"/>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Small Business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20"/>
              <w:spacing w:after="0"/>
              <w:rPr>
                <w:sz w:val="20"/>
                <w:szCs w:val="20"/>
                <w:color w:val="auto"/>
              </w:rPr>
            </w:pPr>
            <w:r>
              <w:rPr>
                <w:rFonts w:ascii="Arial" w:cs="Arial" w:eastAsia="Arial" w:hAnsi="Arial"/>
                <w:sz w:val="14"/>
                <w:szCs w:val="14"/>
                <w:color w:val="auto"/>
              </w:rPr>
              <w:t>Total Voice Customers</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6,046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6,186</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6,884</w:t>
            </w:r>
          </w:p>
        </w:tc>
        <w:tc>
          <w:tcPr>
            <w:tcW w:w="0" w:type="dxa"/>
            <w:vAlign w:val="bottom"/>
          </w:tcPr>
          <w:p>
            <w:pPr>
              <w:spacing w:after="0"/>
              <w:rPr>
                <w:sz w:val="1"/>
                <w:szCs w:val="1"/>
                <w:color w:val="auto"/>
              </w:rPr>
            </w:pPr>
          </w:p>
        </w:tc>
      </w:tr>
      <w:tr>
        <w:trPr>
          <w:trHeight w:val="189"/>
        </w:trPr>
        <w:tc>
          <w:tcPr>
            <w:tcW w:w="6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b w:val="1"/>
                <w:bCs w:val="1"/>
                <w:color w:val="auto"/>
              </w:rPr>
              <w:t xml:space="preserve">Mid-Market &amp; Large Business </w:t>
            </w:r>
            <w:r>
              <w:rPr>
                <w:rFonts w:ascii="Arial" w:cs="Arial" w:eastAsia="Arial" w:hAnsi="Arial"/>
                <w:sz w:val="18"/>
                <w:szCs w:val="18"/>
                <w:b w:val="1"/>
                <w:bCs w:val="1"/>
                <w:color w:val="auto"/>
                <w:vertAlign w:val="superscript"/>
              </w:rPr>
              <w:t>(c) (l)</w:t>
            </w:r>
          </w:p>
        </w:tc>
        <w:tc>
          <w:tcPr>
            <w:tcW w:w="26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8"/>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Mid-Market &amp; Large Business Primary Service Units ("PSUs")</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180"/>
              <w:spacing w:after="0"/>
              <w:rPr>
                <w:sz w:val="20"/>
                <w:szCs w:val="20"/>
                <w:color w:val="auto"/>
              </w:rPr>
            </w:pPr>
            <w:r>
              <w:rPr>
                <w:rFonts w:ascii="Arial" w:cs="Arial" w:eastAsia="Arial" w:hAnsi="Arial"/>
                <w:sz w:val="14"/>
                <w:szCs w:val="14"/>
                <w:color w:val="auto"/>
              </w:rPr>
              <w:t>Mid-Market &amp; Large Business Quarterly Net Additions</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See footnotes on page 7.</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 of 7</w:t>
      </w:r>
    </w:p>
    <w:p>
      <w:pPr>
        <w:sectPr>
          <w:pgSz w:w="11900" w:h="16838" w:orient="portrait"/>
          <w:cols w:equalWidth="0" w:num="1">
            <w:col w:w="11220"/>
          </w:cols>
          <w:pgMar w:left="320" w:top="530" w:right="35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CAPITAL EXPENDITURES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3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59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0"/>
        </w:trPr>
        <w:tc>
          <w:tcPr>
            <w:tcW w:w="592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Customer premise equipment </w:t>
            </w:r>
            <w:r>
              <w:rPr>
                <w:rFonts w:ascii="Arial" w:cs="Arial" w:eastAsia="Arial" w:hAnsi="Arial"/>
                <w:sz w:val="18"/>
                <w:szCs w:val="18"/>
                <w:color w:val="auto"/>
                <w:vertAlign w:val="superscript"/>
              </w:rPr>
              <w:t>(m)</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203"/>
        </w:trPr>
        <w:tc>
          <w:tcPr>
            <w:tcW w:w="5920" w:type="dxa"/>
            <w:vAlign w:val="bottom"/>
          </w:tcPr>
          <w:p>
            <w:pPr>
              <w:ind w:left="100"/>
              <w:spacing w:after="0" w:line="202" w:lineRule="exact"/>
              <w:rPr>
                <w:sz w:val="20"/>
                <w:szCs w:val="20"/>
                <w:color w:val="auto"/>
              </w:rPr>
            </w:pPr>
            <w:r>
              <w:rPr>
                <w:rFonts w:ascii="Arial" w:cs="Arial" w:eastAsia="Arial" w:hAnsi="Arial"/>
                <w:sz w:val="14"/>
                <w:szCs w:val="14"/>
                <w:color w:val="auto"/>
              </w:rPr>
              <w:t xml:space="preserve">Scalable infrastructure </w:t>
            </w:r>
            <w:r>
              <w:rPr>
                <w:rFonts w:ascii="Arial" w:cs="Arial" w:eastAsia="Arial" w:hAnsi="Arial"/>
                <w:sz w:val="18"/>
                <w:szCs w:val="18"/>
                <w:color w:val="auto"/>
                <w:vertAlign w:val="superscript"/>
              </w:rPr>
              <w:t>(n)</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203"/>
        </w:trPr>
        <w:tc>
          <w:tcPr>
            <w:tcW w:w="5920" w:type="dxa"/>
            <w:vAlign w:val="bottom"/>
          </w:tcPr>
          <w:p>
            <w:pPr>
              <w:ind w:left="100"/>
              <w:spacing w:after="0" w:line="202" w:lineRule="exact"/>
              <w:rPr>
                <w:sz w:val="20"/>
                <w:szCs w:val="20"/>
                <w:color w:val="auto"/>
              </w:rPr>
            </w:pPr>
            <w:r>
              <w:rPr>
                <w:rFonts w:ascii="Arial" w:cs="Arial" w:eastAsia="Arial" w:hAnsi="Arial"/>
                <w:sz w:val="14"/>
                <w:szCs w:val="14"/>
                <w:color w:val="auto"/>
              </w:rPr>
              <w:t xml:space="preserve">Upgrade/rebuild </w:t>
            </w:r>
            <w:r>
              <w:rPr>
                <w:rFonts w:ascii="Arial" w:cs="Arial" w:eastAsia="Arial" w:hAnsi="Arial"/>
                <w:sz w:val="18"/>
                <w:szCs w:val="18"/>
                <w:color w:val="auto"/>
                <w:vertAlign w:val="superscript"/>
              </w:rPr>
              <w:t>(o)</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201"/>
        </w:trPr>
        <w:tc>
          <w:tcPr>
            <w:tcW w:w="592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Support capital </w:t>
            </w:r>
            <w:r>
              <w:rPr>
                <w:rFonts w:ascii="Arial" w:cs="Arial" w:eastAsia="Arial" w:hAnsi="Arial"/>
                <w:sz w:val="18"/>
                <w:szCs w:val="18"/>
                <w:color w:val="auto"/>
                <w:vertAlign w:val="superscript"/>
              </w:rPr>
              <w:t>(p)</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20"/>
                <w:szCs w:val="20"/>
                <w:color w:val="auto"/>
              </w:rPr>
            </w:pPr>
            <w:r>
              <w:rPr>
                <w:rFonts w:ascii="Arial" w:cs="Arial" w:eastAsia="Arial" w:hAnsi="Arial"/>
                <w:sz w:val="14"/>
                <w:szCs w:val="14"/>
                <w:color w:val="auto"/>
              </w:rPr>
              <w:t>Capital expenditures, excluding line extensions</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7,053</w:t>
            </w:r>
          </w:p>
        </w:tc>
        <w:tc>
          <w:tcPr>
            <w:tcW w:w="0" w:type="dxa"/>
            <w:vAlign w:val="bottom"/>
          </w:tcPr>
          <w:p>
            <w:pPr>
              <w:spacing w:after="0"/>
              <w:rPr>
                <w:sz w:val="1"/>
                <w:szCs w:val="1"/>
                <w:color w:val="auto"/>
              </w:rPr>
            </w:pPr>
          </w:p>
        </w:tc>
      </w:tr>
      <w:tr>
        <w:trPr>
          <w:trHeight w:val="394"/>
        </w:trPr>
        <w:tc>
          <w:tcPr>
            <w:tcW w:w="5920" w:type="dxa"/>
            <w:vAlign w:val="bottom"/>
          </w:tcPr>
          <w:p>
            <w:pPr>
              <w:ind w:left="220"/>
              <w:spacing w:after="0"/>
              <w:rPr>
                <w:sz w:val="20"/>
                <w:szCs w:val="20"/>
                <w:color w:val="auto"/>
              </w:rPr>
            </w:pPr>
            <w:r>
              <w:rPr>
                <w:rFonts w:ascii="Arial" w:cs="Arial" w:eastAsia="Arial" w:hAnsi="Arial"/>
                <w:sz w:val="14"/>
                <w:szCs w:val="14"/>
                <w:color w:val="auto"/>
              </w:rPr>
              <w:t>Subsidized rural construction line extensions</w:t>
            </w:r>
          </w:p>
        </w:tc>
        <w:tc>
          <w:tcPr>
            <w:tcW w:w="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204"/>
        </w:trPr>
        <w:tc>
          <w:tcPr>
            <w:tcW w:w="5920" w:type="dxa"/>
            <w:vAlign w:val="bottom"/>
          </w:tcPr>
          <w:p>
            <w:pPr>
              <w:ind w:left="220"/>
              <w:spacing w:after="0"/>
              <w:rPr>
                <w:sz w:val="20"/>
                <w:szCs w:val="20"/>
                <w:color w:val="auto"/>
              </w:rPr>
            </w:pPr>
            <w:r>
              <w:rPr>
                <w:rFonts w:ascii="Arial" w:cs="Arial" w:eastAsia="Arial" w:hAnsi="Arial"/>
                <w:sz w:val="14"/>
                <w:szCs w:val="14"/>
                <w:color w:val="auto"/>
              </w:rPr>
              <w:t>Other line extensions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203"/>
        </w:trPr>
        <w:tc>
          <w:tcPr>
            <w:tcW w:w="5920" w:type="dxa"/>
            <w:vAlign w:val="bottom"/>
          </w:tcPr>
          <w:p>
            <w:pPr>
              <w:ind w:left="100"/>
              <w:spacing w:after="0" w:line="202" w:lineRule="exact"/>
              <w:rPr>
                <w:sz w:val="20"/>
                <w:szCs w:val="20"/>
                <w:color w:val="auto"/>
              </w:rPr>
            </w:pPr>
            <w:r>
              <w:rPr>
                <w:rFonts w:ascii="Arial" w:cs="Arial" w:eastAsia="Arial" w:hAnsi="Arial"/>
                <w:sz w:val="14"/>
                <w:szCs w:val="14"/>
                <w:color w:val="auto"/>
              </w:rPr>
              <w:t xml:space="preserve">Total line extensions </w:t>
            </w:r>
            <w:r>
              <w:rPr>
                <w:rFonts w:ascii="Arial" w:cs="Arial" w:eastAsia="Arial" w:hAnsi="Arial"/>
                <w:sz w:val="18"/>
                <w:szCs w:val="18"/>
                <w:color w:val="auto"/>
                <w:vertAlign w:val="superscript"/>
              </w:rPr>
              <w:t>(q)</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4"/>
                <w:szCs w:val="14"/>
                <w:color w:val="auto"/>
              </w:rPr>
              <w:t>Total capital expenditures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11,269</w:t>
            </w:r>
          </w:p>
        </w:tc>
        <w:tc>
          <w:tcPr>
            <w:tcW w:w="0" w:type="dxa"/>
            <w:vAlign w:val="bottom"/>
          </w:tcPr>
          <w:p>
            <w:pPr>
              <w:spacing w:after="0"/>
              <w:rPr>
                <w:sz w:val="1"/>
                <w:szCs w:val="1"/>
                <w:color w:val="auto"/>
              </w:rPr>
            </w:pPr>
          </w:p>
        </w:tc>
      </w:tr>
      <w:tr>
        <w:trPr>
          <w:trHeight w:val="21"/>
        </w:trPr>
        <w:tc>
          <w:tcPr>
            <w:tcW w:w="5920" w:type="dxa"/>
            <w:vAlign w:val="bottom"/>
            <w:vMerge w:val="restart"/>
          </w:tcPr>
          <w:p>
            <w:pPr>
              <w:ind w:left="20"/>
              <w:spacing w:after="0"/>
              <w:rPr>
                <w:sz w:val="20"/>
                <w:szCs w:val="20"/>
                <w:color w:val="auto"/>
              </w:rPr>
            </w:pPr>
            <w:r>
              <w:rPr>
                <w:rFonts w:ascii="Arial" w:cs="Arial" w:eastAsia="Arial" w:hAnsi="Arial"/>
                <w:sz w:val="14"/>
                <w:szCs w:val="14"/>
                <w:color w:val="auto"/>
              </w:rPr>
              <w:t>Capital expenditures included in total related to:</w:t>
            </w: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59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Commercial services</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rPr>
                <w:sz w:val="20"/>
                <w:szCs w:val="20"/>
                <w:color w:val="auto"/>
              </w:rPr>
            </w:pPr>
            <w:r>
              <w:rPr>
                <w:rFonts w:ascii="Arial" w:cs="Arial" w:eastAsia="Arial" w:hAnsi="Arial"/>
                <w:sz w:val="14"/>
                <w:szCs w:val="14"/>
                <w:color w:val="auto"/>
              </w:rPr>
              <w:t xml:space="preserve">Subsidized rural construction initiative </w:t>
            </w:r>
            <w:r>
              <w:rPr>
                <w:rFonts w:ascii="Arial" w:cs="Arial" w:eastAsia="Arial" w:hAnsi="Arial"/>
                <w:sz w:val="18"/>
                <w:szCs w:val="18"/>
                <w:color w:val="auto"/>
                <w:vertAlign w:val="superscript"/>
              </w:rPr>
              <w:t>(r)</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190"/>
        </w:trPr>
        <w:tc>
          <w:tcPr>
            <w:tcW w:w="5920" w:type="dxa"/>
            <w:vAlign w:val="bottom"/>
          </w:tcPr>
          <w:p>
            <w:pPr>
              <w:ind w:left="120"/>
              <w:spacing w:after="0"/>
              <w:rPr>
                <w:sz w:val="20"/>
                <w:szCs w:val="20"/>
                <w:color w:val="auto"/>
              </w:rPr>
            </w:pPr>
            <w:r>
              <w:rPr>
                <w:rFonts w:ascii="Arial" w:cs="Arial" w:eastAsia="Arial" w:hAnsi="Arial"/>
                <w:sz w:val="14"/>
                <w:szCs w:val="14"/>
                <w:color w:val="auto"/>
              </w:rPr>
              <w:t>Mobile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See footnotes on page 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7</w:t>
      </w:r>
    </w:p>
    <w:p>
      <w:pPr>
        <w:sectPr>
          <w:pgSz w:w="11900" w:h="16838" w:orient="portrait"/>
          <w:cols w:equalWidth="0" w:num="1">
            <w:col w:w="11220"/>
          </w:cols>
          <w:pgMar w:left="320" w:top="530"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CHARTER COMMUNICATIONS,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FOOTNOTES</w:t>
      </w:r>
    </w:p>
    <w:p>
      <w:pPr>
        <w:spacing w:after="0" w:line="250" w:lineRule="exact"/>
        <w:rPr>
          <w:sz w:val="20"/>
          <w:szCs w:val="20"/>
          <w:color w:val="auto"/>
        </w:rPr>
      </w:pPr>
    </w:p>
    <w:p>
      <w:pPr>
        <w:jc w:val="both"/>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merger and acquisition costs and (gain) loss on sale or retirement of assets. As such, it eliminates the significant non-cash depreciation and amortization expense that results from the capital-intensive nature of our businesses as well as other non-cash or special items, and is unaffected by our capital structure or investment activities. Free cash flow is defined as net cash flows from operating activities, less capital expenditures and changes in accrued expenses related to capital expenditures.</w:t>
      </w:r>
    </w:p>
    <w:p>
      <w:pPr>
        <w:spacing w:after="0" w:line="2"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expense excludes stock compensation expense. Total operating costs and expenses excludes stock compensation expense, depreciation and amortization and other operating (income) expenses, net.</w:t>
      </w:r>
    </w:p>
    <w:p>
      <w:pPr>
        <w:jc w:val="both"/>
        <w:ind w:left="340" w:hanging="332"/>
        <w:spacing w:after="0" w:line="257"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better reflect the converged and integrated nature of our business and operations, in the fourth quarter of 2025, we revised our customer relationship statistics to include all mobile customers, including mobile-only customers, and have added information on total connectivity customers, which represent all customers receiving our Internet and/or mobile connectivity services. In addition, in the fourth quarter of 2025, certain reporting policies related to mobile lines were revised to better align with other Charter services. Other minor changes were made to small business Internet customers and mid-market &amp; large business PSUs to standardize reporting methodologies. Prior periods have been revised accordingly.</w:t>
      </w:r>
    </w:p>
    <w:p>
      <w:pPr>
        <w:spacing w:after="0" w:line="2"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calculate the aging of customer accounts based on the monthly billing cycle for each account in accordance with our collection policies. On that basis, at December 31, 2025, September 30, 2025 and December 31, 2024, customers included approximately 82,300, 87,100 and 102,500 customers, respectively, whose accounts were over 60 days past due, approximately 9,700, 10,500 and 12,100 customers, respectively, whose accounts were over 90 days past due and approximately 13,600, 13,200 and 13,600 customers, respectively, whose accounts were over 120 days past due.</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Passings represent our estimate of the number of units, such as single family homes, apartment and condominium units and small business and mid-market &amp; large business sites passed by our cable distribution network in the areas where we offer the service indicated. These estimates are based upon the information available at this time and are updated for all periods presented when new information becomes available.</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Penetration represents residential and small business customers as a percentage of estimated passings.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Monthly residential revenue per residential customer is calculated as total residential quarterly revenue divided by three divided by average residential customer relationships during the respective quarter.</w:t>
      </w:r>
    </w:p>
    <w:p>
      <w:pPr>
        <w:ind w:left="340" w:right="20" w:hanging="332"/>
        <w:spacing w:after="0" w:line="25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Monthly small business revenue per small business customer is calculated as total small business quarterly revenue divided by three divided by average small business customer relationships during the respective quarter.</w:t>
      </w:r>
    </w:p>
    <w:p>
      <w:pPr>
        <w:ind w:left="340" w:right="20" w:hanging="332"/>
        <w:spacing w:after="0" w:line="26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product, two product and three or more product penetration represents the number of residential customers that subscribe to one product, two products or three or more products, respectively, as a percentage of residential customer relationships.</w:t>
      </w:r>
    </w:p>
    <w:p>
      <w:pPr>
        <w:ind w:left="340" w:hanging="332"/>
        <w:spacing w:after="0" w:line="25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Mobile lines include phones and tablets which require one of our standard rate plans (e.g., "Unlimited" or "By the Gig"). Mobile lines exclude wearables and other devices that do not require standard phone rate plans.</w:t>
      </w:r>
    </w:p>
    <w:p>
      <w:pPr>
        <w:ind w:left="340" w:hanging="332"/>
        <w:spacing w:after="0" w:line="261" w:lineRule="auto"/>
        <w:tabs>
          <w:tab w:leader="none" w:pos="3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Mid-market &amp; large business PSUs represents the aggregate number of fiber service offerings counting each separate service offering at each customer location as an individual PSU.</w:t>
      </w:r>
    </w:p>
    <w:p>
      <w:pPr>
        <w:ind w:left="340" w:right="20" w:hanging="332"/>
        <w:spacing w:after="0" w:line="26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Scalable infrastructure includes costs, not related to customer premise equipment or our network, to secure growth of new customers or provide service enhancements (e.g., headend equipment).</w:t>
      </w: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Upgrade/rebuild includes costs to modify or replace existing fiber/coaxial cable networks, including our network evolution initiative.</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5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Line extensions include network costs associated with entering new service areas (e.g., fiber/coaxial cable, amplifiers, electronic equipment, make-ready and design engineering).</w:t>
      </w:r>
    </w:p>
    <w:p>
      <w:pPr>
        <w:ind w:left="340" w:hanging="332"/>
        <w:spacing w:after="0" w:line="284" w:lineRule="auto"/>
        <w:tabs>
          <w:tab w:leader="none" w:pos="335"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subsidized rural construction initiative subcategory includes projects for which we are receiving subsidies from federal, state and local governments, excluding customer premise equipment and installation.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Addendum to Charter Communications, Inc. Fourth Quarter 2025 Earnings Release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7</w:t>
      </w:r>
    </w:p>
    <w:sectPr>
      <w:pgSz w:w="11900" w:h="16838" w:orient="portrait"/>
      <w:cols w:equalWidth="0" w:num="1">
        <w:col w:w="11240"/>
      </w:cols>
      <w:pgMar w:left="320" w:top="5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2026-01-30T07:04:16Z</dcterms:created>
  <dcterms:modified xsi:type="dcterms:W3CDTF">2026-01-30T07:04:16Z</dcterms:modified>
</cp:coreProperties>
</file>