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Rutledge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CHARTER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WASHINGTON BLVD.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CHARTER COMMUNICATIONS, INC.</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6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40"/>
              <w:spacing w:after="0" w:line="185" w:lineRule="exact"/>
              <w:rPr>
                <w:sz w:val="20"/>
                <w:szCs w:val="20"/>
                <w:color w:val="auto"/>
              </w:rPr>
            </w:pPr>
            <w:r>
              <w:rPr>
                <w:rFonts w:ascii="Times New Roman" w:cs="Times New Roman" w:eastAsia="Times New Roman" w:hAnsi="Times New Roman"/>
                <w:sz w:val="17"/>
                <w:szCs w:val="17"/>
                <w:color w:val="0000FF"/>
              </w:rPr>
              <w:t>Director Emeritus</w:t>
            </w:r>
          </w:p>
        </w:tc>
        <w:tc>
          <w:tcPr>
            <w:tcW w:w="0" w:type="dxa"/>
            <w:vAlign w:val="bottom"/>
          </w:tcPr>
          <w:p>
            <w:pPr>
              <w:spacing w:after="0"/>
              <w:rPr>
                <w:sz w:val="1"/>
                <w:szCs w:val="1"/>
                <w:color w:val="auto"/>
              </w:rPr>
            </w:pPr>
          </w:p>
        </w:tc>
      </w:tr>
      <w:tr>
        <w:trPr>
          <w:trHeight w:val="226"/>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0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05/26/2026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69,633</w:t>
            </w:r>
          </w:p>
        </w:tc>
        <w:tc>
          <w:tcPr>
            <w:tcW w:w="46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144.4493</w:t>
            </w:r>
            <w:r>
              <w:rPr>
                <w:rFonts w:ascii="Times New Roman" w:cs="Times New Roman" w:eastAsia="Times New Roman" w:hAnsi="Times New Roman"/>
                <w:sz w:val="22"/>
                <w:szCs w:val="22"/>
                <w:color w:val="008000"/>
                <w:w w:val="95"/>
                <w:vertAlign w:val="superscript"/>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9"/>
              </w:rPr>
              <w:t>3,968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05/27/2026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9,100</w:t>
            </w:r>
          </w:p>
        </w:tc>
        <w:tc>
          <w:tcPr>
            <w:tcW w:w="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146.964</w:t>
            </w:r>
            <w:r>
              <w:rPr>
                <w:rFonts w:ascii="Times New Roman" w:cs="Times New Roman" w:eastAsia="Times New Roman" w:hAnsi="Times New Roman"/>
                <w:sz w:val="22"/>
                <w:szCs w:val="22"/>
                <w:color w:val="008000"/>
                <w:w w:val="95"/>
                <w:vertAlign w:val="superscript"/>
              </w:rPr>
              <w:t>(2)</w:t>
            </w:r>
          </w:p>
        </w:tc>
        <w:tc>
          <w:tcPr>
            <w:tcW w:w="340" w:type="dxa"/>
            <w:vAlign w:val="bottom"/>
          </w:tcPr>
          <w:p>
            <w:pPr>
              <w:spacing w:after="0"/>
              <w:rPr>
                <w:sz w:val="21"/>
                <w:szCs w:val="21"/>
                <w:color w:val="auto"/>
              </w:rPr>
            </w:pPr>
          </w:p>
        </w:tc>
        <w:tc>
          <w:tcPr>
            <w:tcW w:w="82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05/27/2026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9,100</w:t>
            </w:r>
          </w:p>
        </w:tc>
        <w:tc>
          <w:tcPr>
            <w:tcW w:w="4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146.9201</w:t>
            </w:r>
          </w:p>
        </w:tc>
        <w:tc>
          <w:tcPr>
            <w:tcW w:w="340" w:type="dxa"/>
            <w:vAlign w:val="bottom"/>
          </w:tcPr>
          <w:p>
            <w:pPr>
              <w:spacing w:after="0"/>
              <w:rPr>
                <w:sz w:val="21"/>
                <w:szCs w:val="21"/>
                <w:color w:val="auto"/>
              </w:rPr>
            </w:pPr>
          </w:p>
        </w:tc>
        <w:tc>
          <w:tcPr>
            <w:tcW w:w="82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$144.20 to $145.04, inclusive. The reporting person undertakes to provide Charter Communications, Inc., any security holder of Charter Communications,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$146.89 to $147.145, inclusive. The reporting person undertakes to provide Charter Communications, Inc., any security holder of Charter Communications,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held in a trust for the benefit of A Alonso, the reporting person's adult child. The reporting person is trustee of the trust. The reporting person is not a beneficiary of the trust and disclaims beneficial ownership of these securities, and the filing of this report is not an admission that the reporting person is the beneficial owner of these securities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held in a trust for the benefit of TP Rutledge, the reporting person's adult child. The reporting person is trustee of the trust. The reporting person is not a beneficiary of the trust and disclaims beneficial ownership of these securities, and the filing of this report is not an admission that the reporting person is the beneficial owner of these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/s/Jennifer A. Smith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2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9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991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9431" TargetMode="External"/><Relationship Id="rId14" Type="http://schemas.openxmlformats.org/officeDocument/2006/relationships/hyperlink" Target="http://www.sec.gov/cgi-bin/browse-edgar?action=getcompany&amp;CIK=000109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2026-05-28T19:16:47Z</dcterms:created>
  <dcterms:modified xsi:type="dcterms:W3CDTF">2026-05-28T19:16:47Z</dcterms:modified>
</cp:coreProperties>
</file>