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tm2622892d1_8k.htm"/>
      <w:bookmarkStart w:id="1" w:name="kstm2622892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8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907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771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Charter Communications, Inc.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5" w:name="xdx_90C_edei--EntityRegistrantName_c2026"/>
      <w:bookmarkEnd w:id="5"/>
      <w:r>
        <w:rPr>
          <w:rFonts w:ascii="Times New Roman;Times;Serif" w:hAnsi="Times New Roman;Times;Serif"/>
          <w:b/>
          <w:i w:val="false"/>
          <w:caps w:val="false"/>
          <w:smallCaps w:val="false"/>
          <w:sz w:val="28"/>
        </w:rPr>
        <w:t>CCO Holdings, LLC</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6" w:name="xdx_907_edei--EntityRegistrantName_c2026"/>
      <w:bookmarkEnd w:id="6"/>
      <w:r>
        <w:rPr>
          <w:rFonts w:ascii="Times New Roman;Times;Serif" w:hAnsi="Times New Roman;Times;Serif"/>
          <w:b/>
          <w:i w:val="false"/>
          <w:caps w:val="false"/>
          <w:smallCaps w:val="false"/>
          <w:sz w:val="28"/>
        </w:rPr>
        <w:t>CCO Holdings Capital Corp.</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1_edei--EntityIncorporationStateCo"/>
      <w:bookmarkEnd w:id="7"/>
      <w:r>
        <w:rPr>
          <w:rFonts w:ascii="Times New Roman;Times;Serif" w:hAnsi="Times New Roman;Times;Serif"/>
          <w:b/>
          <w:i w:val="false"/>
          <w:caps w:val="false"/>
          <w:smallCaps w:val="false"/>
          <w:sz w:val="20"/>
          <w:u w:val="single"/>
        </w:rPr>
        <w:t>Delaware</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 incorporation or organization)</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645"/>
        <w:gridCol w:w="60"/>
        <w:gridCol w:w="3845"/>
      </w:tblGrid>
      <w:tr>
        <w:trPr/>
        <w:tc>
          <w:tcPr>
            <w:tcW w:w="2645" w:type="dxa"/>
            <w:tcBorders/>
            <w:vAlign w:val="center"/>
          </w:tcPr>
          <w:p>
            <w:pPr>
              <w:pStyle w:val="TableContents"/>
              <w:bidi w:val="0"/>
              <w:spacing w:before="0" w:after="283"/>
              <w:jc w:val="center"/>
              <w:rPr>
                <w:b/>
              </w:rPr>
            </w:pPr>
            <w:bookmarkStart w:id="8" w:name="xdx_90F_edei--EntityFileNumber_c20260812"/>
            <w:bookmarkEnd w:id="8"/>
            <w:r>
              <w:rPr>
                <w:b/>
              </w:rPr>
              <w:t>001-33664</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9" w:name="xdx_902_edei--EntityTaxIdentificationNum"/>
            <w:bookmarkEnd w:id="9"/>
            <w:r>
              <w:rPr>
                <w:b/>
              </w:rPr>
              <w:t>84-1496755</w:t>
            </w:r>
          </w:p>
        </w:tc>
      </w:tr>
      <w:tr>
        <w:trPr/>
        <w:tc>
          <w:tcPr>
            <w:tcW w:w="2645" w:type="dxa"/>
            <w:tcBorders/>
            <w:vAlign w:val="center"/>
          </w:tcPr>
          <w:p>
            <w:pPr>
              <w:pStyle w:val="TableContents"/>
              <w:bidi w:val="0"/>
              <w:spacing w:before="0" w:after="283"/>
              <w:jc w:val="center"/>
              <w:rPr>
                <w:b/>
              </w:rPr>
            </w:pPr>
            <w:bookmarkStart w:id="10" w:name="xdx_90B_edei--EntityFileNumber_c20260812"/>
            <w:bookmarkEnd w:id="10"/>
            <w:r>
              <w:rPr>
                <w:b/>
              </w:rPr>
              <w:t>001-37789</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b/>
              </w:rPr>
            </w:pPr>
            <w:bookmarkStart w:id="11" w:name="xdx_900_edei--EntityTaxIdentificationNum"/>
            <w:bookmarkEnd w:id="11"/>
            <w:r>
              <w:rPr>
                <w:b/>
              </w:rPr>
              <w:t>86-1067239</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b/>
              </w:rPr>
            </w:pPr>
            <w:bookmarkStart w:id="12" w:name="xdx_90E_edei--EntityFileNumber_c20260812"/>
            <w:bookmarkEnd w:id="12"/>
            <w:r>
              <w:rPr>
                <w:b/>
              </w:rPr>
              <w:t>333-112593-01</w:t>
            </w:r>
          </w:p>
        </w:tc>
        <w:tc>
          <w:tcPr>
            <w:tcW w:w="60" w:type="dxa"/>
            <w:tcBorders/>
            <w:vAlign w:val="center"/>
          </w:tcPr>
          <w:p>
            <w:pPr>
              <w:pStyle w:val="TableContents"/>
              <w:bidi w:val="0"/>
              <w:spacing w:before="0" w:after="283"/>
              <w:jc w:val="center"/>
              <w:rPr/>
            </w:pPr>
            <w:r>
              <w:rPr/>
              <w:t> </w:t>
            </w:r>
          </w:p>
        </w:tc>
        <w:tc>
          <w:tcPr>
            <w:tcW w:w="3845" w:type="dxa"/>
            <w:tcBorders>
              <w:bottom w:val="single" w:sz="8" w:space="0" w:color="000000"/>
            </w:tcBorders>
            <w:tcMar>
              <w:bottom w:w="28" w:type="dxa"/>
            </w:tcMar>
            <w:vAlign w:val="center"/>
          </w:tcPr>
          <w:p>
            <w:pPr>
              <w:pStyle w:val="TableContents"/>
              <w:bidi w:val="0"/>
              <w:spacing w:before="0" w:after="283"/>
              <w:jc w:val="center"/>
              <w:rPr>
                <w:b/>
              </w:rPr>
            </w:pPr>
            <w:bookmarkStart w:id="13" w:name="xdx_900_edei--EntityTaxIdentificationNum"/>
            <w:bookmarkEnd w:id="13"/>
            <w:r>
              <w:rPr>
                <w:b/>
              </w:rPr>
              <w:t>20-0257904</w:t>
            </w:r>
          </w:p>
        </w:tc>
      </w:tr>
      <w:tr>
        <w:trPr/>
        <w:tc>
          <w:tcPr>
            <w:tcW w:w="2645" w:type="dxa"/>
            <w:tcBorders/>
            <w:vAlign w:val="center"/>
          </w:tcPr>
          <w:p>
            <w:pPr>
              <w:pStyle w:val="TableContents"/>
              <w:bidi w:val="0"/>
              <w:spacing w:before="0" w:after="283"/>
              <w:jc w:val="center"/>
              <w:rPr>
                <w:i/>
              </w:rPr>
            </w:pPr>
            <w:r>
              <w:rPr>
                <w:i/>
              </w:rPr>
              <w:t>(Commission File Number)</w:t>
            </w:r>
          </w:p>
        </w:tc>
        <w:tc>
          <w:tcPr>
            <w:tcW w:w="60" w:type="dxa"/>
            <w:tcBorders/>
            <w:vAlign w:val="center"/>
          </w:tcPr>
          <w:p>
            <w:pPr>
              <w:pStyle w:val="TableContents"/>
              <w:bidi w:val="0"/>
              <w:spacing w:before="0" w:after="283"/>
              <w:jc w:val="center"/>
              <w:rPr/>
            </w:pPr>
            <w:r>
              <w:rPr/>
              <w:t> </w:t>
            </w:r>
          </w:p>
        </w:tc>
        <w:tc>
          <w:tcPr>
            <w:tcW w:w="3845" w:type="dxa"/>
            <w:tcBorders/>
            <w:vAlign w:val="center"/>
          </w:tcPr>
          <w:p>
            <w:pPr>
              <w:pStyle w:val="TableContents"/>
              <w:bidi w:val="0"/>
              <w:spacing w:before="0" w:after="283"/>
              <w:jc w:val="center"/>
              <w:rPr>
                <w:i/>
              </w:rPr>
            </w:pPr>
            <w:r>
              <w:rPr>
                <w:i/>
              </w:rPr>
              <w:t>(I.R.S. Employer 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A_edei--EntityAddressAddressLine1_"/>
      <w:bookmarkEnd w:id="14"/>
      <w:r>
        <w:rPr>
          <w:rFonts w:ascii="Times New Roman;Times;Serif" w:hAnsi="Times New Roman;Times;Serif"/>
          <w:b/>
          <w:i w:val="false"/>
          <w:caps w:val="false"/>
          <w:smallCaps w:val="false"/>
          <w:sz w:val="20"/>
        </w:rPr>
        <w:t xml:space="preserve">400 Washington Blvd.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E_edei--EntityAddressCityOrTown_c2"/>
      <w:bookmarkEnd w:id="15"/>
      <w:r>
        <w:rPr>
          <w:rFonts w:ascii="Times New Roman;Times;Serif" w:hAnsi="Times New Roman;Times;Serif"/>
          <w:b/>
          <w:i w:val="false"/>
          <w:caps w:val="false"/>
          <w:smallCaps w:val="false"/>
          <w:sz w:val="20"/>
          <w:u w:val="single"/>
        </w:rPr>
        <w:t xml:space="preserve">Stamford, </w:t>
      </w:r>
      <w:bookmarkStart w:id="16" w:name="xdx_90F_edei--EntityAddressStateOrProvin"/>
      <w:bookmarkEnd w:id="16"/>
      <w:r>
        <w:rPr>
          <w:rFonts w:ascii="Times New Roman;Times;Serif" w:hAnsi="Times New Roman;Times;Serif"/>
          <w:b/>
          <w:i w:val="false"/>
          <w:caps w:val="false"/>
          <w:smallCaps w:val="false"/>
          <w:sz w:val="20"/>
          <w:u w:val="single"/>
        </w:rPr>
        <w:t xml:space="preserve">Connecticut </w:t>
      </w:r>
      <w:bookmarkStart w:id="17" w:name="xdx_906_edei--EntityAddressPostalZipCode"/>
      <w:bookmarkEnd w:id="17"/>
      <w:r>
        <w:rPr>
          <w:rFonts w:ascii="Times New Roman;Times;Serif" w:hAnsi="Times New Roman;Times;Serif"/>
          <w:b/>
          <w:i w:val="false"/>
          <w:caps w:val="false"/>
          <w:smallCaps w:val="false"/>
          <w:sz w:val="20"/>
          <w:u w:val="single"/>
        </w:rPr>
        <w:t xml:space="preserve">06902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8" w:name="xdx_909_edei--CityAreaCode_c20260812__20"/>
      <w:bookmarkEnd w:id="18"/>
      <w:r>
        <w:rPr>
          <w:rFonts w:ascii="Times New Roman;Times;Serif" w:hAnsi="Times New Roman;Times;Serif"/>
          <w:b/>
          <w:i w:val="false"/>
          <w:caps w:val="false"/>
          <w:smallCaps w:val="false"/>
          <w:sz w:val="20"/>
          <w:u w:val="single"/>
        </w:rPr>
        <w:t xml:space="preserve">203) </w:t>
      </w:r>
      <w:bookmarkStart w:id="19" w:name="xdx_90D_edei--LocalPhoneNumber_c20260812"/>
      <w:bookmarkEnd w:id="19"/>
      <w:r>
        <w:rPr>
          <w:rFonts w:ascii="Times New Roman;Times;Serif" w:hAnsi="Times New Roman;Times;Serif"/>
          <w:b/>
          <w:i w:val="false"/>
          <w:caps w:val="false"/>
          <w:smallCaps w:val="false"/>
          <w:sz w:val="20"/>
          <w:u w:val="single"/>
        </w:rPr>
        <w:t>905-7801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3_edei--WrittenCommunications_c202"/>
            <w:bookmarkEnd w:id="20"/>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1" w:name="xdx_90E_edei--SolicitingMaterial_c202608"/>
            <w:bookmarkEnd w:id="21"/>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2" w:name="xdx_906_edei--PreCommencementTenderOffer"/>
            <w:bookmarkEnd w:id="22"/>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23" w:name="xdx_905_edei--PreCommencementIssuerTende"/>
            <w:bookmarkEnd w:id="23"/>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55" w:type="dxa"/>
        <w:jc w:val="left"/>
        <w:tblInd w:w="-10" w:type="dxa"/>
        <w:tblLayout w:type="fixed"/>
        <w:tblCellMar>
          <w:top w:w="28" w:type="dxa"/>
          <w:left w:w="108" w:type="dxa"/>
          <w:bottom w:w="28" w:type="dxa"/>
          <w:right w:w="28" w:type="dxa"/>
        </w:tblCellMar>
      </w:tblPr>
      <w:tblGrid>
        <w:gridCol w:w="3335"/>
        <w:gridCol w:w="1610"/>
        <w:gridCol w:w="3710"/>
      </w:tblGrid>
      <w:tr>
        <w:trPr/>
        <w:tc>
          <w:tcPr>
            <w:tcW w:w="33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3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24" w:name="xdx_906_edei--Security12bTitle_c20260812"/>
            <w:bookmarkEnd w:id="24"/>
            <w:r>
              <w:rPr>
                <w:sz w:val="20"/>
              </w:rPr>
              <w:t>Class A Common Stock, $.001 Par Value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5" w:name="xdx_904_edei--TradingSymbol_c20260812__2"/>
            <w:bookmarkEnd w:id="25"/>
            <w:r>
              <w:rPr>
                <w:sz w:val="20"/>
              </w:rPr>
              <w:t>CHTR</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6" w:name="xdx_901_edei--SecurityExchangeName_c2026"/>
            <w:bookmarkEnd w:id="26"/>
            <w:r>
              <w:rPr>
                <w:sz w:val="20"/>
              </w:rPr>
              <w:t>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(§240.12b- 2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D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5195"/>
        <w:gridCol w:w="2180"/>
      </w:tblGrid>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28" w:name="xdx_902_edei--EntityCentralIndexKey_dxL_"/>
            <w:bookmarkEnd w:id="28"/>
            <w:r>
              <w:rPr/>
              <w:t>0001271833</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29" w:name="xdx_908_edei--AmendmentFlag_dxL_c2026081"/>
            <w:bookmarkEnd w:id="29"/>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30" w:name="xdx_90F_edei--DocumentType_dxL_c20260812"/>
            <w:bookmarkEnd w:id="30"/>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31" w:name="xdx_90B_edei--DocumentPeriodEndDate_dxL_"/>
            <w:bookmarkEnd w:id="31"/>
            <w:r>
              <w:rPr/>
              <w:t>2026-08-12</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32" w:name="xdx_904_edei--EntityIncorporationStateCo"/>
            <w:bookmarkEnd w:id="32"/>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33" w:name="xdx_90F_edei--WrittenCommunications_dxL_"/>
            <w:bookmarkEnd w:id="33"/>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34" w:name="xdx_90C_edei--SolicitingMaterial_dxL_c20"/>
            <w:bookmarkEnd w:id="34"/>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35" w:name="xdx_90E_edei--PreCommencementTenderOffer"/>
            <w:bookmarkEnd w:id="35"/>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36" w:name="xdx_90A_edei--PreCommencementIssuerTende"/>
            <w:bookmarkEnd w:id="36"/>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37" w:name="xdx_909_edei--EntityAddressAddressLine1_"/>
            <w:bookmarkEnd w:id="37"/>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38" w:name="xdx_903_edei--EntityAddressCityOrTown_dx"/>
            <w:bookmarkEnd w:id="38"/>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39" w:name="xdx_90B_edei--EntityAddressStateOrProvin"/>
            <w:bookmarkEnd w:id="39"/>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40" w:name="xdx_90C_edei--EntityAddressPostalZipCode"/>
            <w:bookmarkEnd w:id="40"/>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41" w:name="xdx_90A_edei--CityAreaCode_dxL_c20260812"/>
            <w:bookmarkEnd w:id="41"/>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42" w:name="xdx_900_edei--LocalPhoneNumber_dxL_c2026"/>
            <w:bookmarkEnd w:id="42"/>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43" w:name="xdx_908_edei--EntityEmergingGrowthCompan"/>
            <w:bookmarkEnd w:id="43"/>
            <w:r>
              <w:rPr/>
              <w:t>false</w:t>
            </w:r>
          </w:p>
        </w:tc>
      </w:tr>
      <w:tr>
        <w:trPr/>
        <w:tc>
          <w:tcPr>
            <w:tcW w:w="5195" w:type="dxa"/>
            <w:tcBorders/>
            <w:vAlign w:val="center"/>
          </w:tcPr>
          <w:p>
            <w:pPr>
              <w:pStyle w:val="TableContents"/>
              <w:bidi w:val="0"/>
              <w:spacing w:before="0" w:after="283"/>
              <w:jc w:val="left"/>
              <w:rPr/>
            </w:pPr>
            <w:r>
              <w:rPr/>
              <w:t>Co-Registrant CIK</w:t>
            </w:r>
          </w:p>
        </w:tc>
        <w:tc>
          <w:tcPr>
            <w:tcW w:w="2180" w:type="dxa"/>
            <w:tcBorders/>
            <w:vAlign w:val="center"/>
          </w:tcPr>
          <w:p>
            <w:pPr>
              <w:pStyle w:val="TableContents"/>
              <w:bidi w:val="0"/>
              <w:spacing w:before="0" w:after="283"/>
              <w:jc w:val="left"/>
              <w:rPr/>
            </w:pPr>
            <w:bookmarkStart w:id="44" w:name="xdx_90F_edei--EntityCentralIndexKey_dxL_"/>
            <w:bookmarkEnd w:id="44"/>
            <w:r>
              <w:rPr/>
              <w:t>0001271834</w:t>
            </w:r>
          </w:p>
        </w:tc>
      </w:tr>
      <w:tr>
        <w:trPr/>
        <w:tc>
          <w:tcPr>
            <w:tcW w:w="5195" w:type="dxa"/>
            <w:tcBorders/>
            <w:vAlign w:val="center"/>
          </w:tcPr>
          <w:p>
            <w:pPr>
              <w:pStyle w:val="TableContents"/>
              <w:bidi w:val="0"/>
              <w:spacing w:before="0" w:after="283"/>
              <w:jc w:val="left"/>
              <w:rPr/>
            </w:pPr>
            <w:r>
              <w:rPr/>
              <w:t>Co-Registrant Amendment Flag</w:t>
            </w:r>
          </w:p>
        </w:tc>
        <w:tc>
          <w:tcPr>
            <w:tcW w:w="2180" w:type="dxa"/>
            <w:tcBorders/>
            <w:vAlign w:val="center"/>
          </w:tcPr>
          <w:p>
            <w:pPr>
              <w:pStyle w:val="TableContents"/>
              <w:bidi w:val="0"/>
              <w:spacing w:before="0" w:after="283"/>
              <w:jc w:val="left"/>
              <w:rPr/>
            </w:pPr>
            <w:bookmarkStart w:id="45" w:name="xdx_90B_edei--AmendmentFlag_dxL_c2026081"/>
            <w:bookmarkEnd w:id="45"/>
            <w:r>
              <w:rPr/>
              <w:t>false</w:t>
            </w:r>
          </w:p>
        </w:tc>
      </w:tr>
      <w:tr>
        <w:trPr/>
        <w:tc>
          <w:tcPr>
            <w:tcW w:w="5195" w:type="dxa"/>
            <w:tcBorders/>
            <w:vAlign w:val="center"/>
          </w:tcPr>
          <w:p>
            <w:pPr>
              <w:pStyle w:val="TableContents"/>
              <w:bidi w:val="0"/>
              <w:spacing w:before="0" w:after="283"/>
              <w:jc w:val="left"/>
              <w:rPr/>
            </w:pPr>
            <w:r>
              <w:rPr/>
              <w:t>Co-Registrant Form Type</w:t>
            </w:r>
          </w:p>
        </w:tc>
        <w:tc>
          <w:tcPr>
            <w:tcW w:w="2180" w:type="dxa"/>
            <w:tcBorders/>
            <w:vAlign w:val="center"/>
          </w:tcPr>
          <w:p>
            <w:pPr>
              <w:pStyle w:val="TableContents"/>
              <w:bidi w:val="0"/>
              <w:spacing w:before="0" w:after="283"/>
              <w:jc w:val="left"/>
              <w:rPr/>
            </w:pPr>
            <w:bookmarkStart w:id="46" w:name="xdx_903_edei--DocumentType_dxL_c20260812"/>
            <w:bookmarkEnd w:id="46"/>
            <w:r>
              <w:rPr/>
              <w:t>8-K</w:t>
            </w:r>
          </w:p>
        </w:tc>
      </w:tr>
      <w:tr>
        <w:trPr/>
        <w:tc>
          <w:tcPr>
            <w:tcW w:w="5195" w:type="dxa"/>
            <w:tcBorders/>
            <w:vAlign w:val="center"/>
          </w:tcPr>
          <w:p>
            <w:pPr>
              <w:pStyle w:val="TableContents"/>
              <w:bidi w:val="0"/>
              <w:spacing w:before="0" w:after="283"/>
              <w:jc w:val="left"/>
              <w:rPr/>
            </w:pPr>
            <w:r>
              <w:rPr/>
              <w:t>Co-Registrant DocumentPeriodEndDate</w:t>
            </w:r>
          </w:p>
        </w:tc>
        <w:tc>
          <w:tcPr>
            <w:tcW w:w="2180" w:type="dxa"/>
            <w:tcBorders/>
            <w:vAlign w:val="center"/>
          </w:tcPr>
          <w:p>
            <w:pPr>
              <w:pStyle w:val="TableContents"/>
              <w:bidi w:val="0"/>
              <w:spacing w:before="0" w:after="283"/>
              <w:jc w:val="left"/>
              <w:rPr/>
            </w:pPr>
            <w:bookmarkStart w:id="47" w:name="xdx_901_edei--DocumentPeriodEndDate_dxL_"/>
            <w:bookmarkEnd w:id="47"/>
            <w:r>
              <w:rPr/>
              <w:t>2026-08-12</w:t>
            </w:r>
          </w:p>
        </w:tc>
      </w:tr>
      <w:tr>
        <w:trPr/>
        <w:tc>
          <w:tcPr>
            <w:tcW w:w="5195" w:type="dxa"/>
            <w:tcBorders/>
            <w:vAlign w:val="center"/>
          </w:tcPr>
          <w:p>
            <w:pPr>
              <w:pStyle w:val="TableContents"/>
              <w:bidi w:val="0"/>
              <w:spacing w:before="0" w:after="283"/>
              <w:jc w:val="left"/>
              <w:rPr/>
            </w:pPr>
            <w:r>
              <w:rPr/>
              <w:t>Incorporate State Country Code</w:t>
            </w:r>
          </w:p>
        </w:tc>
        <w:tc>
          <w:tcPr>
            <w:tcW w:w="2180" w:type="dxa"/>
            <w:tcBorders/>
            <w:vAlign w:val="center"/>
          </w:tcPr>
          <w:p>
            <w:pPr>
              <w:pStyle w:val="TableContents"/>
              <w:bidi w:val="0"/>
              <w:spacing w:before="0" w:after="283"/>
              <w:jc w:val="left"/>
              <w:rPr/>
            </w:pPr>
            <w:bookmarkStart w:id="48" w:name="xdx_905_edei--EntityIncorporationStateCo"/>
            <w:bookmarkEnd w:id="48"/>
            <w:r>
              <w:rPr/>
              <w:t>Delaware</w:t>
            </w:r>
          </w:p>
        </w:tc>
      </w:tr>
      <w:tr>
        <w:trPr/>
        <w:tc>
          <w:tcPr>
            <w:tcW w:w="5195" w:type="dxa"/>
            <w:tcBorders/>
            <w:vAlign w:val="center"/>
          </w:tcPr>
          <w:p>
            <w:pPr>
              <w:pStyle w:val="TableContents"/>
              <w:bidi w:val="0"/>
              <w:spacing w:before="0" w:after="283"/>
              <w:jc w:val="left"/>
              <w:rPr/>
            </w:pPr>
            <w:r>
              <w:rPr/>
              <w:t>Co-Registrant Written Communications</w:t>
            </w:r>
          </w:p>
        </w:tc>
        <w:tc>
          <w:tcPr>
            <w:tcW w:w="2180" w:type="dxa"/>
            <w:tcBorders/>
            <w:vAlign w:val="center"/>
          </w:tcPr>
          <w:p>
            <w:pPr>
              <w:pStyle w:val="TableContents"/>
              <w:bidi w:val="0"/>
              <w:spacing w:before="0" w:after="283"/>
              <w:jc w:val="left"/>
              <w:rPr/>
            </w:pPr>
            <w:bookmarkStart w:id="49" w:name="xdx_90B_edei--WrittenCommunications_dxL_"/>
            <w:bookmarkEnd w:id="49"/>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2180" w:type="dxa"/>
            <w:tcBorders/>
            <w:vAlign w:val="center"/>
          </w:tcPr>
          <w:p>
            <w:pPr>
              <w:pStyle w:val="TableContents"/>
              <w:bidi w:val="0"/>
              <w:spacing w:before="0" w:after="283"/>
              <w:jc w:val="left"/>
              <w:rPr/>
            </w:pPr>
            <w:bookmarkStart w:id="50" w:name="xdx_90B_edei--SolicitingMaterial_dxL_c20"/>
            <w:bookmarkEnd w:id="50"/>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2180" w:type="dxa"/>
            <w:tcBorders/>
            <w:vAlign w:val="center"/>
          </w:tcPr>
          <w:p>
            <w:pPr>
              <w:pStyle w:val="TableContents"/>
              <w:bidi w:val="0"/>
              <w:spacing w:before="0" w:after="283"/>
              <w:jc w:val="left"/>
              <w:rPr/>
            </w:pPr>
            <w:bookmarkStart w:id="51" w:name="xdx_90F_edei--PreCommencementTenderOffer"/>
            <w:bookmarkEnd w:id="51"/>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2180" w:type="dxa"/>
            <w:tcBorders/>
            <w:vAlign w:val="center"/>
          </w:tcPr>
          <w:p>
            <w:pPr>
              <w:pStyle w:val="TableContents"/>
              <w:bidi w:val="0"/>
              <w:spacing w:before="0" w:after="283"/>
              <w:jc w:val="left"/>
              <w:rPr/>
            </w:pPr>
            <w:bookmarkStart w:id="52" w:name="xdx_904_edei--PreCommencementIssuerTende"/>
            <w:bookmarkEnd w:id="52"/>
            <w:r>
              <w:rPr/>
              <w:t>false</w:t>
            </w:r>
          </w:p>
        </w:tc>
      </w:tr>
      <w:tr>
        <w:trPr/>
        <w:tc>
          <w:tcPr>
            <w:tcW w:w="5195" w:type="dxa"/>
            <w:tcBorders/>
            <w:vAlign w:val="center"/>
          </w:tcPr>
          <w:p>
            <w:pPr>
              <w:pStyle w:val="TableContents"/>
              <w:bidi w:val="0"/>
              <w:spacing w:before="0" w:after="283"/>
              <w:jc w:val="left"/>
              <w:rPr/>
            </w:pPr>
            <w:r>
              <w:rPr/>
              <w:t>Co-Registrant AddressLine1</w:t>
            </w:r>
          </w:p>
        </w:tc>
        <w:tc>
          <w:tcPr>
            <w:tcW w:w="2180" w:type="dxa"/>
            <w:tcBorders/>
            <w:vAlign w:val="center"/>
          </w:tcPr>
          <w:p>
            <w:pPr>
              <w:pStyle w:val="TableContents"/>
              <w:bidi w:val="0"/>
              <w:spacing w:before="0" w:after="283"/>
              <w:jc w:val="left"/>
              <w:rPr/>
            </w:pPr>
            <w:bookmarkStart w:id="53" w:name="xdx_901_edei--EntityAddressAddressLine1_"/>
            <w:bookmarkEnd w:id="53"/>
            <w:r>
              <w:rPr/>
              <w:t>400 Washington Blvd.</w:t>
            </w:r>
          </w:p>
        </w:tc>
      </w:tr>
      <w:tr>
        <w:trPr/>
        <w:tc>
          <w:tcPr>
            <w:tcW w:w="5195" w:type="dxa"/>
            <w:tcBorders/>
            <w:vAlign w:val="center"/>
          </w:tcPr>
          <w:p>
            <w:pPr>
              <w:pStyle w:val="TableContents"/>
              <w:bidi w:val="0"/>
              <w:spacing w:before="0" w:after="283"/>
              <w:jc w:val="left"/>
              <w:rPr/>
            </w:pPr>
            <w:r>
              <w:rPr/>
              <w:t>Co-Registrant City or Town</w:t>
            </w:r>
          </w:p>
        </w:tc>
        <w:tc>
          <w:tcPr>
            <w:tcW w:w="2180" w:type="dxa"/>
            <w:tcBorders/>
            <w:vAlign w:val="center"/>
          </w:tcPr>
          <w:p>
            <w:pPr>
              <w:pStyle w:val="TableContents"/>
              <w:bidi w:val="0"/>
              <w:spacing w:before="0" w:after="283"/>
              <w:jc w:val="left"/>
              <w:rPr/>
            </w:pPr>
            <w:bookmarkStart w:id="54" w:name="xdx_900_edei--EntityAddressCityOrTown_dx"/>
            <w:bookmarkEnd w:id="54"/>
            <w:r>
              <w:rPr/>
              <w:t>Stamford</w:t>
            </w:r>
          </w:p>
        </w:tc>
      </w:tr>
      <w:tr>
        <w:trPr/>
        <w:tc>
          <w:tcPr>
            <w:tcW w:w="5195" w:type="dxa"/>
            <w:tcBorders/>
            <w:vAlign w:val="center"/>
          </w:tcPr>
          <w:p>
            <w:pPr>
              <w:pStyle w:val="TableContents"/>
              <w:bidi w:val="0"/>
              <w:spacing w:before="0" w:after="283"/>
              <w:jc w:val="left"/>
              <w:rPr/>
            </w:pPr>
            <w:r>
              <w:rPr/>
              <w:t>Co-Registrant State</w:t>
            </w:r>
          </w:p>
        </w:tc>
        <w:tc>
          <w:tcPr>
            <w:tcW w:w="2180" w:type="dxa"/>
            <w:tcBorders/>
            <w:vAlign w:val="center"/>
          </w:tcPr>
          <w:p>
            <w:pPr>
              <w:pStyle w:val="TableContents"/>
              <w:bidi w:val="0"/>
              <w:spacing w:before="0" w:after="283"/>
              <w:jc w:val="left"/>
              <w:rPr/>
            </w:pPr>
            <w:bookmarkStart w:id="55" w:name="xdx_90F_edei--EntityAddressStateOrProvin"/>
            <w:bookmarkEnd w:id="55"/>
            <w:r>
              <w:rPr/>
              <w:t>Connecticut</w:t>
            </w:r>
          </w:p>
        </w:tc>
      </w:tr>
      <w:tr>
        <w:trPr/>
        <w:tc>
          <w:tcPr>
            <w:tcW w:w="5195" w:type="dxa"/>
            <w:tcBorders/>
            <w:vAlign w:val="center"/>
          </w:tcPr>
          <w:p>
            <w:pPr>
              <w:pStyle w:val="TableContents"/>
              <w:bidi w:val="0"/>
              <w:spacing w:before="0" w:after="283"/>
              <w:jc w:val="left"/>
              <w:rPr/>
            </w:pPr>
            <w:r>
              <w:rPr/>
              <w:t>Co-Registrant Postal Zip code</w:t>
            </w:r>
          </w:p>
        </w:tc>
        <w:tc>
          <w:tcPr>
            <w:tcW w:w="2180" w:type="dxa"/>
            <w:tcBorders/>
            <w:vAlign w:val="center"/>
          </w:tcPr>
          <w:p>
            <w:pPr>
              <w:pStyle w:val="TableContents"/>
              <w:bidi w:val="0"/>
              <w:spacing w:before="0" w:after="283"/>
              <w:jc w:val="left"/>
              <w:rPr/>
            </w:pPr>
            <w:bookmarkStart w:id="56" w:name="xdx_904_edei--EntityAddressPostalZipCode"/>
            <w:bookmarkEnd w:id="56"/>
            <w:r>
              <w:rPr/>
              <w:t>06901</w:t>
            </w:r>
          </w:p>
        </w:tc>
      </w:tr>
      <w:tr>
        <w:trPr/>
        <w:tc>
          <w:tcPr>
            <w:tcW w:w="5195" w:type="dxa"/>
            <w:tcBorders/>
            <w:vAlign w:val="center"/>
          </w:tcPr>
          <w:p>
            <w:pPr>
              <w:pStyle w:val="TableContents"/>
              <w:bidi w:val="0"/>
              <w:spacing w:before="0" w:after="283"/>
              <w:jc w:val="left"/>
              <w:rPr/>
            </w:pPr>
            <w:r>
              <w:rPr/>
              <w:t>Co-Registrant City area code</w:t>
            </w:r>
          </w:p>
        </w:tc>
        <w:tc>
          <w:tcPr>
            <w:tcW w:w="2180" w:type="dxa"/>
            <w:tcBorders/>
            <w:vAlign w:val="center"/>
          </w:tcPr>
          <w:p>
            <w:pPr>
              <w:pStyle w:val="TableContents"/>
              <w:bidi w:val="0"/>
              <w:spacing w:before="0" w:after="283"/>
              <w:jc w:val="left"/>
              <w:rPr/>
            </w:pPr>
            <w:bookmarkStart w:id="57" w:name="xdx_900_edei--CityAreaCode_dxL_c20260812"/>
            <w:bookmarkEnd w:id="57"/>
            <w:r>
              <w:rPr/>
              <w:t>203</w:t>
            </w:r>
          </w:p>
        </w:tc>
      </w:tr>
      <w:tr>
        <w:trPr/>
        <w:tc>
          <w:tcPr>
            <w:tcW w:w="5195" w:type="dxa"/>
            <w:tcBorders/>
            <w:vAlign w:val="center"/>
          </w:tcPr>
          <w:p>
            <w:pPr>
              <w:pStyle w:val="TableContents"/>
              <w:bidi w:val="0"/>
              <w:spacing w:before="0" w:after="283"/>
              <w:jc w:val="left"/>
              <w:rPr/>
            </w:pPr>
            <w:r>
              <w:rPr/>
              <w:t>Co-Registrant Local Phone number</w:t>
            </w:r>
          </w:p>
        </w:tc>
        <w:tc>
          <w:tcPr>
            <w:tcW w:w="2180" w:type="dxa"/>
            <w:tcBorders/>
            <w:vAlign w:val="center"/>
          </w:tcPr>
          <w:p>
            <w:pPr>
              <w:pStyle w:val="TableContents"/>
              <w:bidi w:val="0"/>
              <w:spacing w:before="0" w:after="283"/>
              <w:jc w:val="left"/>
              <w:rPr/>
            </w:pPr>
            <w:bookmarkStart w:id="58" w:name="xdx_902_edei--LocalPhoneNumber_dxL_c2026"/>
            <w:bookmarkEnd w:id="58"/>
            <w:r>
              <w:rPr/>
              <w:t>905-7801</w:t>
            </w:r>
          </w:p>
        </w:tc>
      </w:tr>
      <w:tr>
        <w:trPr/>
        <w:tc>
          <w:tcPr>
            <w:tcW w:w="5195" w:type="dxa"/>
            <w:tcBorders/>
            <w:vAlign w:val="center"/>
          </w:tcPr>
          <w:p>
            <w:pPr>
              <w:pStyle w:val="TableContents"/>
              <w:bidi w:val="0"/>
              <w:spacing w:before="0" w:after="283"/>
              <w:jc w:val="left"/>
              <w:rPr/>
            </w:pPr>
            <w:r>
              <w:rPr/>
              <w:t>Co-Registrant Emerging Growth Company</w:t>
            </w:r>
          </w:p>
        </w:tc>
        <w:tc>
          <w:tcPr>
            <w:tcW w:w="2180" w:type="dxa"/>
            <w:tcBorders/>
            <w:vAlign w:val="center"/>
          </w:tcPr>
          <w:p>
            <w:pPr>
              <w:pStyle w:val="TableContents"/>
              <w:bidi w:val="0"/>
              <w:spacing w:before="0" w:after="283"/>
              <w:jc w:val="left"/>
              <w:rPr/>
            </w:pPr>
            <w:bookmarkStart w:id="59" w:name="xdx_909_edei--EntityEmergingGrowthCompan"/>
            <w:bookmarkEnd w:id="59"/>
            <w:r>
              <w:rPr/>
              <w:t>false</w:t>
            </w:r>
          </w:p>
        </w:tc>
      </w:tr>
    </w:tbl>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Early Settlement of Exchange Offers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23, 2026, Charter Communications Operating, LLC (“CCO”), Charter Communications Operating Capital Corp. (together with CCO, the “Issuers”), and Time Warner Cable, LLC (“TWC”), as applicable, commenced (a) a private offer to exchange (the “Pool 1 Offer”) the outstanding (i) 3.500% Senior Secured Notes due 2042, (ii) 3.500% Senior Secured Notes due 2041, (iii) 4.500% Senior Debentures due 2042, (iv) 5.375% Senior Secured Notes due 2047, (v) 2.300% Senior Secured Notes due 2032, (vi) 2.800% Senior Secured Notes due 2031 and (vii) 2.250% Senior Secured Notes due 2029, issued by the Issuers or TWC, as applicable, for a combination of cash consideration and up to $2,000,000,000 in aggregate principal amount of a new series of 7.087% Senior Secured Notes due 2038 (the “2038 Notes”) to be issued by the Issuers with registration rights and (b) a private offer to exchange (the “Pool 2 Offer” and, together with the Pool 1 Offer, the “Exchange Offers”) the outstanding (i) 3.700% Senior Secured Notes due 2051, (ii) 3.900% Senior Secured Notes due 2052, (iii) 4.800% Senior Secured Notes due 2050, (iv) 5.125% Senior Secured Notes due 2049 and (v) 5.250% Senior Secured Notes due 2053, issued by the Issuers for a combination of cash consideration and up to $2,000,000,000 in aggregate principal amount of a new series of 7.337% Senior Secured Notes due 2041 (the “2041 Notes” and, together with the 2038 Notes, the “Notes”) to be issued by the Issuers with registration rights.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“Early Settlement Date”), the Issuers issued $1,686,285,000 in aggregate principal amount of 2038 Notes and $1,627,538,000 in aggregate principal amount of 2041 Notes in connection with the early settlement of the Exchange Offers.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the Issuers entered into the below agreements.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Notes Indenture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Early Settlement Date, the Issuers, CCO Holdings, LLC (the “Parent Guarantor”) and the Subsidiary Guarantors entered into a supplemental indenture with the Trustee and Collateral Agent in connection with the issuance of the Notes and the terms thereof (the “Twenty-Seventh Supplemental Indenture”). The Twenty-Seventh Supplemental Indenture supplements a base indenture entered into on July 23, 2015, by and among the Issuers, CCO Safari II, LLC, the Trustee and the Collateral Agent (the “Base Indenture” and, together with the Twenty-Seventh Supplemental Indenture, the “Indenture”) providing for the issuance of senior secured notes of the Issuers generally.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provides, among other things, that interest is payable on the 2038 Notes on each March 1 and September 1, commencing March 1, 2027. Interest is payable on the 2041 Notes on each March 1 and September 1, commencing March 1, 2027. At any time and from time to time prior to June 1, 2038, the Issuers may redeem the outstanding 2038 Notes in whole or in part at a redemption price equal to 100% of the principal amount thereof, plus accrued and unpaid interest on the principal amount being redeemed to, but not including, the redemption date, plus a make-whole premium. On or after June 1, 2038, the Issuers may redeem some or all of the outstanding 2038 Notes at a redemption price equal to 100% of the principal amount of the 2038 Notes to be redeemed, plus accrued and unpaid interest on the principal amount being redeemed to, but not including, the redemption date. At any time and from time to time prior to June 1, 2041, the Issuers may redeem the outstanding 2041 Notes in whole or in part at a redemption price equal to 100% of the principal amount thereof, plus accrued and unpaid interest on the principal amount being redeemed to, but not including, the redemption date, plus a make-whole premium. On or after June 1, 2041, the Issuers may redeem some or all of the outstanding 2041 Notes at a redemption price equal to 100% of the principal amount of the 2041 Notes to be redeemed, plus accrued and unpaid interest on the principal amount being redeemed to, but not including, the redemption date. The Notes are senior secured obligations of the Issuers. The Notes are guaranteed on a senior secured basis by the Parent Guarantor and all of the subsidiaries of the Issuers that guarantee the obligations of CCO under its credit agreement (collectively, the “Guarantors”). The Notes and the guarantees are secured by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first priority security interest, subject to certain permitted liens, in the Issuers’ and the Guarantors’ assets that secure obligations under the credit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Indenture, among other things, limit the ability of the Issuers to grant liens, sell all or substantially all of their assets or merge or consolidate with other entities.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customary grace and cure periods), among others, nonpayment of principal or interest; breach of other covenants or agreements in the Indenture; failure of certain guarantees to be enforceable; cessation of a material portion of the collateral subject to liens or disaffirmation of obligations under the security documents establishing the security interest in the collateral securing the Notes; and certain events of bankruptcy or insolvency. Generally, if an event of default occurs, the Trustee or the holders of at least 30% in aggregate principal amount of the then outstanding Notes of a series may declare all the Notes of such series to be due and payable immediately.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Notes, the Issuers entered into an Exchange and Registration Rights Agreement with respect to the Notes, dated as of the Early Settlement Date (the “Registration Rights Agreement”), with Barclays Capital Inc., Citigroup Global Markets Inc., Morgan Stanley &amp; Co. LLC, BofA Securities, Inc., Deutsche Bank Securities Inc., Goldman Sachs &amp; Co. LLC, J.P. Morgan Securities LLC and Wells Fargo Securities, LLC, as the dealer managers for the Exchange Offers. Under the Registration Rights Agreement, the Issuers have agreed, in certain circumstances, to file a registration statement with respect to an offer to exchange each series of the Notes for a new issue of substantially identical notes registered under the Securities Act, to cause the exchange offer registration statement to become or be declared effective and to consummate the exchange offer no later than 450 days following the Early Settlement Date. The Issuers may be required to file a shelf registration statement to cover resales of the Notes under certain circumstances. If the foregoing obligations are not satisfied, the Issuers may be required to pay holders of the Notes additional interest at a rate of 0.25% per annum of the principal amount thereof for 90 days immediately following the occurrence of any registration default. Thereafter, the amount of additional interest will increase by an additional 0.25% per annum of the principal amount thereof to 0.5% per annum of the principal amount thereof until all registration defaults have been cured.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complete description of the Indenture, the Notes and the Registration Rights Agreement please refer to copies of the Twenty-Seventh Supplemental Indenture, the form of the 2038 Notes, the form of the 2041 Notes and the Registration Rights Agreement filed herewith as Exhibits 4.2, 4.3, 4.4 and 4.5, respectively. The foregoing descriptions of the Indenture and the Notes do not purport to be complete and are qualified in their entirety by reference to the full text of those documents. Defined terms used in this Item 1.01 but not otherwise defined herein shall have the meanings ascribed to such terms in the Base Indenture.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under the heading “Secured Notes Indenture” in Item 1.01 above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Indenture, dated as of July 23, 2015, among Charter Communications Operating, LLC, Charter Communications Operating Capital Corp. and CCO Safari II, LLC, as issuers, and The Bank of New York Mellon Trust Company, N.A., as trustee and collateral agent (incorporated by reference to Exhibit 4.1 to the Current Report on Form 8-K filed by Charter Communications, Inc. on July 27, 2015).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2892d1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2892d1_ex4-2.htm">
              <w:r>
                <w:rPr>
                  <w:rStyle w:val="InternetLink"/>
                  <w:rFonts w:ascii="Times New Roman;Times;Serif" w:hAnsi="Times New Roman;Times;Serif"/>
                  <w:sz w:val="20"/>
                </w:rPr>
                <w:t>Twenty-Seventh Supplemental Indenture, dated as of August 12, 2026, among Charter Communications Operating, LLC, Charter Communications Operating Capital Corp., as issuers, CCO Holdings, LLC, the subsidiary guarantors party thereto and The Bank of New York Mellon Trust Company, N.A., as trustee and collateral agent.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S-1">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S-1">
              <w:r>
                <w:rPr>
                  <w:rStyle w:val="InternetLink"/>
                  <w:rFonts w:ascii="Times New Roman;Times;Serif" w:hAnsi="Times New Roman;Times;Serif"/>
                  <w:sz w:val="20"/>
                </w:rPr>
                <w:t>Form of 7.087% Senior Secured Notes due 2038 (included in Exhibit 4.2 hereto).</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S-2">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S-2">
              <w:r>
                <w:rPr>
                  <w:rStyle w:val="InternetLink"/>
                  <w:rFonts w:ascii="Times New Roman;Times;Serif" w:hAnsi="Times New Roman;Times;Serif"/>
                  <w:sz w:val="20"/>
                </w:rPr>
                <w:t>Form of 7.337% Senior Secured Notes due 2041 (included in Exhibit 4.2 hereto).</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2892d1_ex4-5.htm">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2892d1_ex4-5.htm">
              <w:r>
                <w:rPr>
                  <w:rStyle w:val="InternetLink"/>
                  <w:rFonts w:ascii="Times New Roman;Times;Serif" w:hAnsi="Times New Roman;Times;Serif"/>
                  <w:sz w:val="20"/>
                </w:rPr>
                <w:t>Exchange and Registration Rights Agreement, dated as of August 12,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firstLine="216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Incorporated by reference and not 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1865"/>
        <w:gridCol w:w="545"/>
        <w:gridCol w:w="5450"/>
      </w:tblGrid>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CHARTER COMMUNICATIONS, INC.,</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12, 2026</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LLC,</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12, 2026</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CAPITAL CORP.</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Accounting Officer and Controller</w:t>
            </w:r>
          </w:p>
        </w:tc>
      </w:tr>
      <w:tr>
        <w:trPr/>
        <w:tc>
          <w:tcPr>
            <w:tcW w:w="186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12, 2026</w:t>
            </w:r>
          </w:p>
        </w:tc>
        <w:tc>
          <w:tcPr>
            <w:tcW w:w="599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0" w:name="tm2622892d1_ex4-2.htm"/>
      <w:bookmarkStart w:id="61" w:name="kstm2622892d1_ex42"/>
      <w:bookmarkEnd w:id="60"/>
      <w:bookmarkEnd w:id="61"/>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pBdr>
          <w:top w:val="sing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Bank of New York Mellon TRUST COMPANY,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and Collateral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43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TWENTY-SEVENTH</w:t>
      </w:r>
      <w:r>
        <w:rPr>
          <w:rFonts w:ascii="Times New Roman;Times;Serif" w:hAnsi="Times New Roman;Times;Serif"/>
          <w:b w:val="false"/>
          <w:i w:val="false"/>
          <w:caps w:val="false"/>
          <w:smallCaps w:val="false"/>
          <w:sz w:val="20"/>
        </w:rPr>
        <w:t xml:space="preserve">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firstLine="43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 Senior Secured Notes due 2038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7.337% Senior Secured Notes due 2041</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CROSS-REFERENCE TABLE*</w:t>
      </w:r>
    </w:p>
    <w:p>
      <w:pPr>
        <w:pStyle w:val="TextBody"/>
        <w:bidi w:val="0"/>
        <w:spacing w:before="0" w:after="0"/>
        <w:ind w:left="0" w:right="0" w:hanging="0"/>
        <w:jc w:val="center"/>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350"/>
        <w:gridCol w:w="1430"/>
        <w:gridCol w:w="1535"/>
      </w:tblGrid>
      <w:tr>
        <w:trPr/>
        <w:tc>
          <w:tcPr>
            <w:tcW w:w="1780" w:type="dxa"/>
            <w:gridSpan w:val="2"/>
            <w:tcBorders/>
            <w:vAlign w:val="center"/>
          </w:tcPr>
          <w:p>
            <w:pPr>
              <w:pStyle w:val="TableContents"/>
              <w:bidi w:val="0"/>
              <w:spacing w:before="0" w:after="283"/>
              <w:jc w:val="left"/>
              <w:rPr>
                <w:i/>
                <w:sz w:val="20"/>
              </w:rPr>
            </w:pPr>
            <w:r>
              <w:rPr>
                <w:i/>
                <w:sz w:val="20"/>
              </w:rPr>
              <w:t>Trust Indenture</w:t>
              <w:br/>
              <w:t>Act Section</w:t>
            </w:r>
          </w:p>
        </w:tc>
        <w:tc>
          <w:tcPr>
            <w:tcW w:w="1535" w:type="dxa"/>
            <w:tcBorders/>
            <w:vAlign w:val="center"/>
          </w:tcPr>
          <w:p>
            <w:pPr>
              <w:pStyle w:val="TableContents"/>
              <w:bidi w:val="0"/>
              <w:spacing w:before="0" w:after="283"/>
              <w:jc w:val="left"/>
              <w:rPr>
                <w:i/>
                <w:sz w:val="20"/>
              </w:rPr>
            </w:pPr>
            <w:r>
              <w:rPr>
                <w:i/>
                <w:sz w:val="20"/>
              </w:rPr>
              <w:t>Indenture</w:t>
              <w:br/>
              <w:t>Section</w:t>
            </w:r>
          </w:p>
        </w:tc>
      </w:tr>
      <w:tr>
        <w:trPr/>
        <w:tc>
          <w:tcPr>
            <w:tcW w:w="350" w:type="dxa"/>
            <w:tcBorders/>
            <w:vAlign w:val="center"/>
          </w:tcPr>
          <w:p>
            <w:pPr>
              <w:pStyle w:val="TableContents"/>
              <w:bidi w:val="0"/>
              <w:spacing w:before="0" w:after="283"/>
              <w:jc w:val="left"/>
              <w:rPr>
                <w:sz w:val="20"/>
              </w:rPr>
            </w:pPr>
            <w:r>
              <w:rPr>
                <w:sz w:val="20"/>
              </w:rPr>
              <w:t>310</w:t>
            </w:r>
          </w:p>
        </w:tc>
        <w:tc>
          <w:tcPr>
            <w:tcW w:w="1430" w:type="dxa"/>
            <w:tcBorders/>
            <w:vAlign w:val="center"/>
          </w:tcPr>
          <w:p>
            <w:pPr>
              <w:pStyle w:val="TableContents"/>
              <w:bidi w:val="0"/>
              <w:spacing w:before="0" w:after="283"/>
              <w:jc w:val="left"/>
              <w:rPr>
                <w:sz w:val="20"/>
              </w:rPr>
            </w:pPr>
            <w:r>
              <w:rPr>
                <w:sz w:val="20"/>
              </w:rPr>
              <w:t>(a)(1)</w:t>
            </w:r>
          </w:p>
        </w:tc>
        <w:tc>
          <w:tcPr>
            <w:tcW w:w="1535" w:type="dxa"/>
            <w:tcBorders/>
            <w:vAlign w:val="center"/>
          </w:tcPr>
          <w:p>
            <w:pPr>
              <w:pStyle w:val="TableContents"/>
              <w:bidi w:val="0"/>
              <w:spacing w:before="0" w:after="283"/>
              <w:jc w:val="left"/>
              <w:rPr>
                <w:sz w:val="20"/>
              </w:rPr>
            </w:pPr>
            <w:r>
              <w:rPr>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(a)(2)</w:t>
            </w:r>
          </w:p>
        </w:tc>
        <w:tc>
          <w:tcPr>
            <w:tcW w:w="1535" w:type="dxa"/>
            <w:tcBorders/>
            <w:vAlign w:val="center"/>
          </w:tcPr>
          <w:p>
            <w:pPr>
              <w:pStyle w:val="TableContents"/>
              <w:bidi w:val="0"/>
              <w:spacing w:before="0" w:after="283"/>
              <w:jc w:val="left"/>
              <w:rPr>
                <w:sz w:val="20"/>
              </w:rPr>
            </w:pPr>
            <w:r>
              <w:rPr>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(a)(3)</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(a)(4)</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(a)(5)</w:t>
            </w:r>
          </w:p>
        </w:tc>
        <w:tc>
          <w:tcPr>
            <w:tcW w:w="1535" w:type="dxa"/>
            <w:tcBorders/>
            <w:vAlign w:val="center"/>
          </w:tcPr>
          <w:p>
            <w:pPr>
              <w:pStyle w:val="TableContents"/>
              <w:bidi w:val="0"/>
              <w:spacing w:before="0" w:after="283"/>
              <w:jc w:val="left"/>
              <w:rPr>
                <w:sz w:val="20"/>
              </w:rPr>
            </w:pPr>
            <w:r>
              <w:rPr>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7.10</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sz w:val="20"/>
              </w:rPr>
            </w:pPr>
            <w:r>
              <w:rPr>
                <w:sz w:val="20"/>
              </w:rPr>
              <w:t>311</w:t>
            </w:r>
          </w:p>
        </w:tc>
        <w:tc>
          <w:tcPr>
            <w:tcW w:w="1430" w:type="dxa"/>
            <w:tcBorders/>
            <w:vAlign w:val="center"/>
          </w:tcPr>
          <w:p>
            <w:pPr>
              <w:pStyle w:val="TableContents"/>
              <w:bidi w:val="0"/>
              <w:spacing w:before="0" w:after="283"/>
              <w:jc w:val="left"/>
              <w:rPr>
                <w:sz w:val="20"/>
              </w:rPr>
            </w:pPr>
            <w:r>
              <w:rPr>
                <w:sz w:val="20"/>
              </w:rPr>
              <w:t>(a)</w:t>
            </w:r>
          </w:p>
        </w:tc>
        <w:tc>
          <w:tcPr>
            <w:tcW w:w="1535" w:type="dxa"/>
            <w:tcBorders/>
            <w:vAlign w:val="center"/>
          </w:tcPr>
          <w:p>
            <w:pPr>
              <w:pStyle w:val="TableContents"/>
              <w:bidi w:val="0"/>
              <w:spacing w:before="0" w:after="283"/>
              <w:jc w:val="left"/>
              <w:rPr>
                <w:sz w:val="20"/>
              </w:rPr>
            </w:pPr>
            <w:r>
              <w:rPr>
                <w:sz w:val="20"/>
              </w:rPr>
              <w:t>7.11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7.11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sz w:val="20"/>
              </w:rPr>
            </w:pPr>
            <w:r>
              <w:rPr>
                <w:sz w:val="20"/>
              </w:rPr>
              <w:t>312</w:t>
            </w:r>
          </w:p>
        </w:tc>
        <w:tc>
          <w:tcPr>
            <w:tcW w:w="1430" w:type="dxa"/>
            <w:tcBorders/>
            <w:vAlign w:val="center"/>
          </w:tcPr>
          <w:p>
            <w:pPr>
              <w:pStyle w:val="TableContents"/>
              <w:bidi w:val="0"/>
              <w:spacing w:before="0" w:after="283"/>
              <w:jc w:val="left"/>
              <w:rPr>
                <w:sz w:val="20"/>
              </w:rPr>
            </w:pPr>
            <w:r>
              <w:rPr>
                <w:sz w:val="20"/>
              </w:rPr>
              <w:t>(a)</w:t>
            </w:r>
          </w:p>
        </w:tc>
        <w:tc>
          <w:tcPr>
            <w:tcW w:w="1535" w:type="dxa"/>
            <w:tcBorders/>
            <w:vAlign w:val="center"/>
          </w:tcPr>
          <w:p>
            <w:pPr>
              <w:pStyle w:val="TableContents"/>
              <w:bidi w:val="0"/>
              <w:spacing w:before="0" w:after="283"/>
              <w:jc w:val="left"/>
              <w:rPr>
                <w:sz w:val="20"/>
              </w:rPr>
            </w:pPr>
            <w:r>
              <w:rPr>
                <w:sz w:val="20"/>
              </w:rPr>
              <w:t>2.05</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12.03</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12.03</w:t>
            </w:r>
          </w:p>
        </w:tc>
      </w:tr>
      <w:tr>
        <w:trPr/>
        <w:tc>
          <w:tcPr>
            <w:tcW w:w="350" w:type="dxa"/>
            <w:tcBorders/>
            <w:vAlign w:val="center"/>
          </w:tcPr>
          <w:p>
            <w:pPr>
              <w:pStyle w:val="TableContents"/>
              <w:bidi w:val="0"/>
              <w:spacing w:before="0" w:after="283"/>
              <w:jc w:val="left"/>
              <w:rPr>
                <w:sz w:val="20"/>
              </w:rPr>
            </w:pPr>
            <w:r>
              <w:rPr>
                <w:sz w:val="20"/>
              </w:rPr>
              <w:t>313</w:t>
            </w:r>
          </w:p>
        </w:tc>
        <w:tc>
          <w:tcPr>
            <w:tcW w:w="1430" w:type="dxa"/>
            <w:tcBorders/>
            <w:vAlign w:val="center"/>
          </w:tcPr>
          <w:p>
            <w:pPr>
              <w:pStyle w:val="TableContents"/>
              <w:bidi w:val="0"/>
              <w:spacing w:before="0" w:after="283"/>
              <w:jc w:val="left"/>
              <w:rPr>
                <w:sz w:val="20"/>
              </w:rPr>
            </w:pPr>
            <w:r>
              <w:rPr>
                <w:sz w:val="20"/>
              </w:rPr>
              <w:t>(a)</w:t>
            </w:r>
          </w:p>
        </w:tc>
        <w:tc>
          <w:tcPr>
            <w:tcW w:w="1535" w:type="dxa"/>
            <w:tcBorders/>
            <w:vAlign w:val="center"/>
          </w:tcPr>
          <w:p>
            <w:pPr>
              <w:pStyle w:val="TableContents"/>
              <w:bidi w:val="0"/>
              <w:spacing w:before="0" w:after="283"/>
              <w:jc w:val="left"/>
              <w:rPr>
                <w:sz w:val="20"/>
              </w:rPr>
            </w:pPr>
            <w:r>
              <w:rPr>
                <w:sz w:val="20"/>
              </w:rPr>
              <w:t>7.06</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(b)(1)</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(b)(2)</w:t>
            </w:r>
          </w:p>
        </w:tc>
        <w:tc>
          <w:tcPr>
            <w:tcW w:w="1535" w:type="dxa"/>
            <w:tcBorders/>
            <w:vAlign w:val="center"/>
          </w:tcPr>
          <w:p>
            <w:pPr>
              <w:pStyle w:val="TableContents"/>
              <w:bidi w:val="0"/>
              <w:spacing w:before="0" w:after="283"/>
              <w:jc w:val="left"/>
              <w:rPr>
                <w:sz w:val="20"/>
              </w:rPr>
            </w:pPr>
            <w:r>
              <w:rPr>
                <w:sz w:val="20"/>
              </w:rPr>
              <w:t>7.06; 7.07</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7.06; 12.02</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(d)</w:t>
            </w:r>
          </w:p>
        </w:tc>
        <w:tc>
          <w:tcPr>
            <w:tcW w:w="1535" w:type="dxa"/>
            <w:tcBorders/>
            <w:vAlign w:val="center"/>
          </w:tcPr>
          <w:p>
            <w:pPr>
              <w:pStyle w:val="TableContents"/>
              <w:bidi w:val="0"/>
              <w:spacing w:before="0" w:after="283"/>
              <w:jc w:val="left"/>
              <w:rPr>
                <w:sz w:val="20"/>
              </w:rPr>
            </w:pPr>
            <w:r>
              <w:rPr>
                <w:sz w:val="20"/>
              </w:rPr>
              <w:t>7.06</w:t>
            </w:r>
          </w:p>
        </w:tc>
      </w:tr>
      <w:tr>
        <w:trPr/>
        <w:tc>
          <w:tcPr>
            <w:tcW w:w="350" w:type="dxa"/>
            <w:tcBorders/>
            <w:vAlign w:val="center"/>
          </w:tcPr>
          <w:p>
            <w:pPr>
              <w:pStyle w:val="TableContents"/>
              <w:bidi w:val="0"/>
              <w:spacing w:before="0" w:after="283"/>
              <w:jc w:val="left"/>
              <w:rPr>
                <w:sz w:val="20"/>
              </w:rPr>
            </w:pPr>
            <w:r>
              <w:rPr>
                <w:sz w:val="20"/>
              </w:rPr>
              <w:t>314</w:t>
            </w:r>
          </w:p>
        </w:tc>
        <w:tc>
          <w:tcPr>
            <w:tcW w:w="1430" w:type="dxa"/>
            <w:tcBorders/>
            <w:vAlign w:val="center"/>
          </w:tcPr>
          <w:p>
            <w:pPr>
              <w:pStyle w:val="TableContents"/>
              <w:bidi w:val="0"/>
              <w:spacing w:before="0" w:after="283"/>
              <w:jc w:val="left"/>
              <w:rPr>
                <w:sz w:val="20"/>
              </w:rPr>
            </w:pPr>
            <w:r>
              <w:rPr>
                <w:sz w:val="20"/>
              </w:rPr>
              <w:t>(a)</w:t>
            </w:r>
          </w:p>
        </w:tc>
        <w:tc>
          <w:tcPr>
            <w:tcW w:w="1535" w:type="dxa"/>
            <w:tcBorders/>
            <w:vAlign w:val="center"/>
          </w:tcPr>
          <w:p>
            <w:pPr>
              <w:pStyle w:val="TableContents"/>
              <w:bidi w:val="0"/>
              <w:spacing w:before="0" w:after="283"/>
              <w:jc w:val="left"/>
              <w:rPr>
                <w:sz w:val="20"/>
              </w:rPr>
            </w:pPr>
            <w:r>
              <w:rPr>
                <w:sz w:val="20"/>
              </w:rPr>
              <w:t>4.04; 12.02; 12.04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(c)(1)</w:t>
            </w:r>
          </w:p>
        </w:tc>
        <w:tc>
          <w:tcPr>
            <w:tcW w:w="1535" w:type="dxa"/>
            <w:tcBorders/>
            <w:vAlign w:val="center"/>
          </w:tcPr>
          <w:p>
            <w:pPr>
              <w:pStyle w:val="TableContents"/>
              <w:bidi w:val="0"/>
              <w:spacing w:before="0" w:after="283"/>
              <w:jc w:val="left"/>
              <w:rPr>
                <w:sz w:val="20"/>
              </w:rPr>
            </w:pPr>
            <w:r>
              <w:rPr>
                <w:sz w:val="20"/>
              </w:rPr>
              <w:t>12.04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(c)(2)</w:t>
            </w:r>
          </w:p>
        </w:tc>
        <w:tc>
          <w:tcPr>
            <w:tcW w:w="1535" w:type="dxa"/>
            <w:tcBorders/>
            <w:vAlign w:val="center"/>
          </w:tcPr>
          <w:p>
            <w:pPr>
              <w:pStyle w:val="TableContents"/>
              <w:bidi w:val="0"/>
              <w:spacing w:before="0" w:after="283"/>
              <w:jc w:val="left"/>
              <w:rPr>
                <w:sz w:val="20"/>
              </w:rPr>
            </w:pPr>
            <w:r>
              <w:rPr>
                <w:sz w:val="20"/>
              </w:rPr>
              <w:t>12.04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(c)(3)</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(d)</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(e)</w:t>
            </w:r>
          </w:p>
        </w:tc>
        <w:tc>
          <w:tcPr>
            <w:tcW w:w="1535" w:type="dxa"/>
            <w:tcBorders/>
            <w:vAlign w:val="center"/>
          </w:tcPr>
          <w:p>
            <w:pPr>
              <w:pStyle w:val="TableContents"/>
              <w:bidi w:val="0"/>
              <w:spacing w:before="0" w:after="283"/>
              <w:jc w:val="left"/>
              <w:rPr>
                <w:sz w:val="20"/>
              </w:rPr>
            </w:pPr>
            <w:r>
              <w:rPr>
                <w:sz w:val="20"/>
              </w:rPr>
              <w:t>12.05</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(f)</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sz w:val="20"/>
              </w:rPr>
            </w:pPr>
            <w:r>
              <w:rPr>
                <w:sz w:val="20"/>
              </w:rPr>
              <w:t>315</w:t>
            </w:r>
          </w:p>
        </w:tc>
        <w:tc>
          <w:tcPr>
            <w:tcW w:w="1430" w:type="dxa"/>
            <w:tcBorders/>
            <w:vAlign w:val="center"/>
          </w:tcPr>
          <w:p>
            <w:pPr>
              <w:pStyle w:val="TableContents"/>
              <w:bidi w:val="0"/>
              <w:spacing w:before="0" w:after="283"/>
              <w:jc w:val="left"/>
              <w:rPr>
                <w:sz w:val="20"/>
              </w:rPr>
            </w:pPr>
            <w:r>
              <w:rPr>
                <w:sz w:val="20"/>
              </w:rPr>
              <w:t>(a)</w:t>
            </w:r>
          </w:p>
        </w:tc>
        <w:tc>
          <w:tcPr>
            <w:tcW w:w="1535" w:type="dxa"/>
            <w:tcBorders/>
            <w:vAlign w:val="center"/>
          </w:tcPr>
          <w:p>
            <w:pPr>
              <w:pStyle w:val="TableContents"/>
              <w:bidi w:val="0"/>
              <w:spacing w:before="0" w:after="283"/>
              <w:jc w:val="left"/>
              <w:rPr>
                <w:sz w:val="20"/>
              </w:rPr>
            </w:pPr>
            <w:r>
              <w:rPr>
                <w:sz w:val="20"/>
              </w:rPr>
              <w:t>7.01; 7.02</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7.05; 12.02</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7.01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(d)</w:t>
            </w:r>
          </w:p>
        </w:tc>
        <w:tc>
          <w:tcPr>
            <w:tcW w:w="1535" w:type="dxa"/>
            <w:tcBorders/>
            <w:vAlign w:val="center"/>
          </w:tcPr>
          <w:p>
            <w:pPr>
              <w:pStyle w:val="TableContents"/>
              <w:bidi w:val="0"/>
              <w:spacing w:before="0" w:after="283"/>
              <w:jc w:val="left"/>
              <w:rPr>
                <w:sz w:val="20"/>
              </w:rPr>
            </w:pPr>
            <w:r>
              <w:rPr>
                <w:sz w:val="20"/>
              </w:rPr>
              <w:t>7.01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(e)</w:t>
            </w:r>
          </w:p>
        </w:tc>
        <w:tc>
          <w:tcPr>
            <w:tcW w:w="1535" w:type="dxa"/>
            <w:tcBorders/>
            <w:vAlign w:val="center"/>
          </w:tcPr>
          <w:p>
            <w:pPr>
              <w:pStyle w:val="TableContents"/>
              <w:bidi w:val="0"/>
              <w:spacing w:before="0" w:after="283"/>
              <w:jc w:val="left"/>
              <w:rPr>
                <w:sz w:val="20"/>
              </w:rPr>
            </w:pPr>
            <w:r>
              <w:rPr>
                <w:sz w:val="20"/>
              </w:rPr>
              <w:t>6.11</w:t>
            </w:r>
          </w:p>
        </w:tc>
      </w:tr>
      <w:tr>
        <w:trPr/>
        <w:tc>
          <w:tcPr>
            <w:tcW w:w="350" w:type="dxa"/>
            <w:tcBorders/>
            <w:vAlign w:val="center"/>
          </w:tcPr>
          <w:p>
            <w:pPr>
              <w:pStyle w:val="TableContents"/>
              <w:bidi w:val="0"/>
              <w:spacing w:before="0" w:after="283"/>
              <w:jc w:val="left"/>
              <w:rPr>
                <w:sz w:val="20"/>
              </w:rPr>
            </w:pPr>
            <w:r>
              <w:rPr>
                <w:sz w:val="20"/>
              </w:rPr>
              <w:t>316</w:t>
            </w:r>
          </w:p>
        </w:tc>
        <w:tc>
          <w:tcPr>
            <w:tcW w:w="1430" w:type="dxa"/>
            <w:tcBorders/>
            <w:vAlign w:val="center"/>
          </w:tcPr>
          <w:p>
            <w:pPr>
              <w:pStyle w:val="TableContents"/>
              <w:bidi w:val="0"/>
              <w:spacing w:before="0" w:after="283"/>
              <w:jc w:val="left"/>
              <w:rPr>
                <w:sz w:val="20"/>
              </w:rPr>
            </w:pPr>
            <w:r>
              <w:rPr>
                <w:sz w:val="20"/>
              </w:rPr>
              <w:t>(a) (last sentence)</w:t>
            </w:r>
          </w:p>
        </w:tc>
        <w:tc>
          <w:tcPr>
            <w:tcW w:w="1535" w:type="dxa"/>
            <w:tcBorders/>
            <w:vAlign w:val="center"/>
          </w:tcPr>
          <w:p>
            <w:pPr>
              <w:pStyle w:val="TableContents"/>
              <w:bidi w:val="0"/>
              <w:spacing w:before="0" w:after="283"/>
              <w:jc w:val="left"/>
              <w:rPr>
                <w:sz w:val="20"/>
              </w:rPr>
            </w:pPr>
            <w:r>
              <w:rPr>
                <w:sz w:val="20"/>
              </w:rPr>
              <w:t>2.09</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(a)(1)(A)</w:t>
            </w:r>
          </w:p>
        </w:tc>
        <w:tc>
          <w:tcPr>
            <w:tcW w:w="1535" w:type="dxa"/>
            <w:tcBorders/>
            <w:vAlign w:val="center"/>
          </w:tcPr>
          <w:p>
            <w:pPr>
              <w:pStyle w:val="TableContents"/>
              <w:bidi w:val="0"/>
              <w:spacing w:before="0" w:after="283"/>
              <w:jc w:val="left"/>
              <w:rPr>
                <w:sz w:val="20"/>
              </w:rPr>
            </w:pPr>
            <w:r>
              <w:rPr>
                <w:sz w:val="20"/>
              </w:rPr>
              <w:t>6.05</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(a)(1)(B)</w:t>
            </w:r>
          </w:p>
        </w:tc>
        <w:tc>
          <w:tcPr>
            <w:tcW w:w="1535" w:type="dxa"/>
            <w:tcBorders/>
            <w:vAlign w:val="center"/>
          </w:tcPr>
          <w:p>
            <w:pPr>
              <w:pStyle w:val="TableContents"/>
              <w:bidi w:val="0"/>
              <w:spacing w:before="0" w:after="283"/>
              <w:jc w:val="left"/>
              <w:rPr>
                <w:sz w:val="20"/>
              </w:rPr>
            </w:pPr>
            <w:r>
              <w:rPr>
                <w:sz w:val="20"/>
              </w:rPr>
              <w:t>6.04</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(a)(2)</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6.07</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2.12</w:t>
            </w:r>
          </w:p>
        </w:tc>
      </w:tr>
      <w:tr>
        <w:trPr/>
        <w:tc>
          <w:tcPr>
            <w:tcW w:w="350" w:type="dxa"/>
            <w:tcBorders/>
            <w:vAlign w:val="center"/>
          </w:tcPr>
          <w:p>
            <w:pPr>
              <w:pStyle w:val="TableContents"/>
              <w:bidi w:val="0"/>
              <w:spacing w:before="0" w:after="283"/>
              <w:jc w:val="left"/>
              <w:rPr>
                <w:sz w:val="20"/>
              </w:rPr>
            </w:pPr>
            <w:r>
              <w:rPr>
                <w:sz w:val="20"/>
              </w:rPr>
              <w:t>317</w:t>
            </w:r>
          </w:p>
        </w:tc>
        <w:tc>
          <w:tcPr>
            <w:tcW w:w="1430" w:type="dxa"/>
            <w:tcBorders/>
            <w:vAlign w:val="center"/>
          </w:tcPr>
          <w:p>
            <w:pPr>
              <w:pStyle w:val="TableContents"/>
              <w:bidi w:val="0"/>
              <w:spacing w:before="0" w:after="283"/>
              <w:jc w:val="left"/>
              <w:rPr>
                <w:sz w:val="20"/>
              </w:rPr>
            </w:pPr>
            <w:r>
              <w:rPr>
                <w:sz w:val="20"/>
              </w:rPr>
              <w:t>(a)(1)</w:t>
            </w:r>
          </w:p>
        </w:tc>
        <w:tc>
          <w:tcPr>
            <w:tcW w:w="1535" w:type="dxa"/>
            <w:tcBorders/>
            <w:vAlign w:val="center"/>
          </w:tcPr>
          <w:p>
            <w:pPr>
              <w:pStyle w:val="TableContents"/>
              <w:bidi w:val="0"/>
              <w:spacing w:before="0" w:after="283"/>
              <w:jc w:val="left"/>
              <w:rPr>
                <w:sz w:val="20"/>
              </w:rPr>
            </w:pPr>
            <w:r>
              <w:rPr>
                <w:sz w:val="20"/>
              </w:rPr>
              <w:t>6.08</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(a)(2)</w:t>
            </w:r>
          </w:p>
        </w:tc>
        <w:tc>
          <w:tcPr>
            <w:tcW w:w="1535" w:type="dxa"/>
            <w:tcBorders/>
            <w:vAlign w:val="center"/>
          </w:tcPr>
          <w:p>
            <w:pPr>
              <w:pStyle w:val="TableContents"/>
              <w:bidi w:val="0"/>
              <w:spacing w:before="0" w:after="283"/>
              <w:jc w:val="left"/>
              <w:rPr>
                <w:sz w:val="20"/>
              </w:rPr>
            </w:pPr>
            <w:r>
              <w:rPr>
                <w:sz w:val="20"/>
              </w:rPr>
              <w:t>6.09</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2.04</w:t>
            </w:r>
          </w:p>
        </w:tc>
      </w:tr>
      <w:tr>
        <w:trPr/>
        <w:tc>
          <w:tcPr>
            <w:tcW w:w="350" w:type="dxa"/>
            <w:tcBorders/>
            <w:vAlign w:val="center"/>
          </w:tcPr>
          <w:p>
            <w:pPr>
              <w:pStyle w:val="TableContents"/>
              <w:bidi w:val="0"/>
              <w:spacing w:before="0" w:after="283"/>
              <w:jc w:val="left"/>
              <w:rPr>
                <w:sz w:val="20"/>
              </w:rPr>
            </w:pPr>
            <w:r>
              <w:rPr>
                <w:sz w:val="20"/>
              </w:rPr>
              <w:t>318</w:t>
            </w:r>
          </w:p>
        </w:tc>
        <w:tc>
          <w:tcPr>
            <w:tcW w:w="1430" w:type="dxa"/>
            <w:tcBorders/>
            <w:vAlign w:val="center"/>
          </w:tcPr>
          <w:p>
            <w:pPr>
              <w:pStyle w:val="TableContents"/>
              <w:bidi w:val="0"/>
              <w:spacing w:before="0" w:after="283"/>
              <w:jc w:val="left"/>
              <w:rPr>
                <w:sz w:val="20"/>
              </w:rPr>
            </w:pPr>
            <w:r>
              <w:rPr>
                <w:sz w:val="20"/>
              </w:rPr>
              <w:t>(a)</w:t>
            </w:r>
          </w:p>
        </w:tc>
        <w:tc>
          <w:tcPr>
            <w:tcW w:w="1535" w:type="dxa"/>
            <w:tcBorders/>
            <w:vAlign w:val="center"/>
          </w:tcPr>
          <w:p>
            <w:pPr>
              <w:pStyle w:val="TableContents"/>
              <w:bidi w:val="0"/>
              <w:spacing w:before="0" w:after="283"/>
              <w:jc w:val="left"/>
              <w:rPr>
                <w:sz w:val="20"/>
              </w:rPr>
            </w:pPr>
            <w:r>
              <w:rPr>
                <w:sz w:val="20"/>
              </w:rPr>
              <w:t>12.01</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(b)</w:t>
            </w:r>
          </w:p>
        </w:tc>
        <w:tc>
          <w:tcPr>
            <w:tcW w:w="1535" w:type="dxa"/>
            <w:tcBorders/>
            <w:vAlign w:val="center"/>
          </w:tcPr>
          <w:p>
            <w:pPr>
              <w:pStyle w:val="TableContents"/>
              <w:bidi w:val="0"/>
              <w:spacing w:before="0" w:after="283"/>
              <w:jc w:val="left"/>
              <w:rPr>
                <w:sz w:val="20"/>
              </w:rPr>
            </w:pPr>
            <w:r>
              <w:rPr>
                <w:sz w:val="20"/>
              </w:rPr>
              <w:t>N.A.</w:t>
            </w:r>
          </w:p>
        </w:tc>
      </w:tr>
      <w:tr>
        <w:trPr/>
        <w:tc>
          <w:tcPr>
            <w:tcW w:w="3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20"/>
              </w:rPr>
            </w:pPr>
            <w:r>
              <w:rPr>
                <w:sz w:val="20"/>
              </w:rPr>
              <w:t>(c)</w:t>
            </w:r>
          </w:p>
        </w:tc>
        <w:tc>
          <w:tcPr>
            <w:tcW w:w="1535" w:type="dxa"/>
            <w:tcBorders/>
            <w:vAlign w:val="center"/>
          </w:tcPr>
          <w:p>
            <w:pPr>
              <w:pStyle w:val="TableContents"/>
              <w:bidi w:val="0"/>
              <w:spacing w:before="0" w:after="283"/>
              <w:jc w:val="left"/>
              <w:rPr>
                <w:sz w:val="20"/>
              </w:rPr>
            </w:pPr>
            <w:r>
              <w:rPr>
                <w:sz w:val="20"/>
              </w:rPr>
              <w:t>12.01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means not applicable.</w:t>
        <w:br/>
        <w:t>* This Cross Reference Table is not part of this Twenty-Seventh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432" w:right="432" w:hanging="0"/>
        <w:jc w:val="righ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436"/>
        <w:gridCol w:w="4349"/>
        <w:gridCol w:w="323"/>
      </w:tblGrid>
      <w:tr>
        <w:trPr/>
        <w:tc>
          <w:tcPr>
            <w:tcW w:w="6108" w:type="dxa"/>
            <w:gridSpan w:val="3"/>
            <w:tcBorders/>
            <w:vAlign w:val="center"/>
          </w:tcPr>
          <w:p>
            <w:pPr>
              <w:pStyle w:val="TableContents"/>
              <w:bidi w:val="0"/>
              <w:spacing w:before="0" w:after="283"/>
              <w:jc w:val="center"/>
              <w:rPr/>
            </w:pPr>
            <w:r>
              <w:rPr/>
              <w:t>Article 1</w:t>
            </w:r>
          </w:p>
        </w:tc>
      </w:tr>
      <w:tr>
        <w:trPr/>
        <w:tc>
          <w:tcPr>
            <w:tcW w:w="6108" w:type="dxa"/>
            <w:gridSpan w:val="3"/>
            <w:tcBorders/>
            <w:vAlign w:val="center"/>
          </w:tcPr>
          <w:p>
            <w:pPr>
              <w:pStyle w:val="TableContents"/>
              <w:bidi w:val="0"/>
              <w:spacing w:before="0" w:after="283"/>
              <w:jc w:val="center"/>
              <w:rPr/>
            </w:pPr>
            <w:r>
              <w:rPr/>
              <w:t> </w:t>
            </w:r>
          </w:p>
        </w:tc>
      </w:tr>
      <w:tr>
        <w:trPr/>
        <w:tc>
          <w:tcPr>
            <w:tcW w:w="6108" w:type="dxa"/>
            <w:gridSpan w:val="3"/>
            <w:tcBorders/>
            <w:vAlign w:val="center"/>
          </w:tcPr>
          <w:p>
            <w:pPr>
              <w:pStyle w:val="TableContents"/>
              <w:bidi w:val="0"/>
              <w:spacing w:before="0" w:after="283"/>
              <w:jc w:val="center"/>
              <w:rPr/>
            </w:pPr>
            <w:r>
              <w:rPr/>
              <w:t>DEFINITIONS AND INCORPORATION BY REFERENCE</w:t>
            </w:r>
          </w:p>
        </w:tc>
      </w:tr>
      <w:tr>
        <w:trPr/>
        <w:tc>
          <w:tcPr>
            <w:tcW w:w="1436" w:type="dxa"/>
            <w:tcBorders/>
            <w:vAlign w:val="center"/>
          </w:tcPr>
          <w:p>
            <w:pPr>
              <w:pStyle w:val="TableContents"/>
              <w:bidi w:val="0"/>
              <w:spacing w:before="0" w:after="283"/>
              <w:jc w:val="left"/>
              <w:rPr/>
            </w:pPr>
            <w:r>
              <w:rPr/>
              <w:t>Section 1.01</w:t>
            </w:r>
          </w:p>
        </w:tc>
        <w:tc>
          <w:tcPr>
            <w:tcW w:w="4349" w:type="dxa"/>
            <w:tcBorders/>
            <w:vAlign w:val="center"/>
          </w:tcPr>
          <w:p>
            <w:pPr>
              <w:pStyle w:val="TableContents"/>
              <w:bidi w:val="0"/>
              <w:spacing w:before="0" w:after="283"/>
              <w:jc w:val="left"/>
              <w:rPr/>
            </w:pPr>
            <w:r>
              <w:rPr/>
              <w:t>Definitions.</w:t>
            </w:r>
          </w:p>
        </w:tc>
        <w:tc>
          <w:tcPr>
            <w:tcW w:w="323" w:type="dxa"/>
            <w:tcBorders/>
            <w:vAlign w:val="center"/>
          </w:tcPr>
          <w:p>
            <w:pPr>
              <w:pStyle w:val="TableContents"/>
              <w:bidi w:val="0"/>
              <w:spacing w:before="0" w:after="283"/>
              <w:jc w:val="right"/>
              <w:rPr/>
            </w:pPr>
            <w:r>
              <w:rPr/>
              <w:t>2</w:t>
            </w:r>
          </w:p>
        </w:tc>
      </w:tr>
      <w:tr>
        <w:trPr/>
        <w:tc>
          <w:tcPr>
            <w:tcW w:w="1436" w:type="dxa"/>
            <w:tcBorders/>
            <w:vAlign w:val="center"/>
          </w:tcPr>
          <w:p>
            <w:pPr>
              <w:pStyle w:val="TableContents"/>
              <w:bidi w:val="0"/>
              <w:spacing w:before="0" w:after="283"/>
              <w:jc w:val="left"/>
              <w:rPr/>
            </w:pPr>
            <w:r>
              <w:rPr/>
              <w:t>Section 1.02</w:t>
            </w:r>
          </w:p>
        </w:tc>
        <w:tc>
          <w:tcPr>
            <w:tcW w:w="4349" w:type="dxa"/>
            <w:tcBorders/>
            <w:vAlign w:val="center"/>
          </w:tcPr>
          <w:p>
            <w:pPr>
              <w:pStyle w:val="TableContents"/>
              <w:bidi w:val="0"/>
              <w:spacing w:before="0" w:after="283"/>
              <w:jc w:val="left"/>
              <w:rPr/>
            </w:pPr>
            <w:r>
              <w:rPr/>
              <w:t>Other Definitions.</w:t>
            </w:r>
          </w:p>
        </w:tc>
        <w:tc>
          <w:tcPr>
            <w:tcW w:w="323" w:type="dxa"/>
            <w:tcBorders/>
            <w:vAlign w:val="center"/>
          </w:tcPr>
          <w:p>
            <w:pPr>
              <w:pStyle w:val="TableContents"/>
              <w:bidi w:val="0"/>
              <w:spacing w:before="0" w:after="283"/>
              <w:jc w:val="right"/>
              <w:rPr/>
            </w:pPr>
            <w:r>
              <w:rPr/>
              <w:t>11</w:t>
            </w:r>
          </w:p>
        </w:tc>
      </w:tr>
      <w:tr>
        <w:trPr/>
        <w:tc>
          <w:tcPr>
            <w:tcW w:w="1436" w:type="dxa"/>
            <w:tcBorders/>
            <w:vAlign w:val="center"/>
          </w:tcPr>
          <w:p>
            <w:pPr>
              <w:pStyle w:val="TableContents"/>
              <w:bidi w:val="0"/>
              <w:spacing w:before="0" w:after="283"/>
              <w:jc w:val="left"/>
              <w:rPr/>
            </w:pPr>
            <w:r>
              <w:rPr/>
              <w:t>Section 1.03</w:t>
            </w:r>
          </w:p>
        </w:tc>
        <w:tc>
          <w:tcPr>
            <w:tcW w:w="4349" w:type="dxa"/>
            <w:tcBorders/>
            <w:vAlign w:val="center"/>
          </w:tcPr>
          <w:p>
            <w:pPr>
              <w:pStyle w:val="TableContents"/>
              <w:bidi w:val="0"/>
              <w:spacing w:before="0" w:after="283"/>
              <w:jc w:val="left"/>
              <w:rPr/>
            </w:pPr>
            <w:r>
              <w:rPr/>
              <w:t>Rule of Construction.</w:t>
            </w:r>
          </w:p>
        </w:tc>
        <w:tc>
          <w:tcPr>
            <w:tcW w:w="323" w:type="dxa"/>
            <w:tcBorders/>
            <w:vAlign w:val="center"/>
          </w:tcPr>
          <w:p>
            <w:pPr>
              <w:pStyle w:val="TableContents"/>
              <w:bidi w:val="0"/>
              <w:spacing w:before="0" w:after="283"/>
              <w:jc w:val="right"/>
              <w:rPr/>
            </w:pPr>
            <w:r>
              <w:rPr/>
              <w:t>11</w:t>
            </w:r>
          </w:p>
        </w:tc>
      </w:tr>
      <w:tr>
        <w:trPr/>
        <w:tc>
          <w:tcPr>
            <w:tcW w:w="5785" w:type="dxa"/>
            <w:gridSpan w:val="2"/>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r>
      <w:tr>
        <w:trPr/>
        <w:tc>
          <w:tcPr>
            <w:tcW w:w="6108" w:type="dxa"/>
            <w:gridSpan w:val="3"/>
            <w:tcBorders/>
            <w:vAlign w:val="center"/>
          </w:tcPr>
          <w:p>
            <w:pPr>
              <w:pStyle w:val="TableContents"/>
              <w:bidi w:val="0"/>
              <w:spacing w:before="0" w:after="283"/>
              <w:jc w:val="center"/>
              <w:rPr/>
            </w:pPr>
            <w:r>
              <w:rPr/>
              <w:t>Article 2</w:t>
            </w:r>
          </w:p>
        </w:tc>
      </w:tr>
      <w:tr>
        <w:trPr/>
        <w:tc>
          <w:tcPr>
            <w:tcW w:w="6108" w:type="dxa"/>
            <w:gridSpan w:val="3"/>
            <w:tcBorders/>
            <w:vAlign w:val="center"/>
          </w:tcPr>
          <w:p>
            <w:pPr>
              <w:pStyle w:val="TableContents"/>
              <w:bidi w:val="0"/>
              <w:spacing w:before="0" w:after="283"/>
              <w:jc w:val="center"/>
              <w:rPr/>
            </w:pPr>
            <w:r>
              <w:rPr/>
              <w:t> </w:t>
            </w:r>
          </w:p>
        </w:tc>
      </w:tr>
      <w:tr>
        <w:trPr/>
        <w:tc>
          <w:tcPr>
            <w:tcW w:w="6108" w:type="dxa"/>
            <w:gridSpan w:val="3"/>
            <w:tcBorders/>
            <w:vAlign w:val="center"/>
          </w:tcPr>
          <w:p>
            <w:pPr>
              <w:pStyle w:val="TableContents"/>
              <w:bidi w:val="0"/>
              <w:spacing w:before="0" w:after="283"/>
              <w:jc w:val="center"/>
              <w:rPr/>
            </w:pPr>
            <w:r>
              <w:rPr/>
              <w:t>THE NOTES</w:t>
            </w:r>
          </w:p>
        </w:tc>
      </w:tr>
      <w:tr>
        <w:trPr/>
        <w:tc>
          <w:tcPr>
            <w:tcW w:w="6108" w:type="dxa"/>
            <w:gridSpan w:val="3"/>
            <w:tcBorders/>
            <w:vAlign w:val="center"/>
          </w:tcPr>
          <w:p>
            <w:pPr>
              <w:pStyle w:val="TableContents"/>
              <w:bidi w:val="0"/>
              <w:spacing w:before="0" w:after="283"/>
              <w:jc w:val="center"/>
              <w:rPr/>
            </w:pPr>
            <w:r>
              <w:rPr/>
              <w:t> </w:t>
            </w:r>
          </w:p>
        </w:tc>
      </w:tr>
      <w:tr>
        <w:trPr/>
        <w:tc>
          <w:tcPr>
            <w:tcW w:w="1436" w:type="dxa"/>
            <w:tcBorders/>
            <w:vAlign w:val="center"/>
          </w:tcPr>
          <w:p>
            <w:pPr>
              <w:pStyle w:val="TableContents"/>
              <w:bidi w:val="0"/>
              <w:spacing w:before="0" w:after="283"/>
              <w:jc w:val="left"/>
              <w:rPr/>
            </w:pPr>
            <w:r>
              <w:rPr/>
              <w:t>Section 2.01</w:t>
            </w:r>
          </w:p>
        </w:tc>
        <w:tc>
          <w:tcPr>
            <w:tcW w:w="4349" w:type="dxa"/>
            <w:tcBorders/>
            <w:vAlign w:val="center"/>
          </w:tcPr>
          <w:p>
            <w:pPr>
              <w:pStyle w:val="TableContents"/>
              <w:bidi w:val="0"/>
              <w:spacing w:before="0" w:after="283"/>
              <w:jc w:val="left"/>
              <w:rPr/>
            </w:pPr>
            <w:r>
              <w:rPr/>
              <w:t>Form and Dating.</w:t>
            </w:r>
          </w:p>
        </w:tc>
        <w:tc>
          <w:tcPr>
            <w:tcW w:w="323" w:type="dxa"/>
            <w:tcBorders/>
            <w:vAlign w:val="center"/>
          </w:tcPr>
          <w:p>
            <w:pPr>
              <w:pStyle w:val="TableContents"/>
              <w:bidi w:val="0"/>
              <w:spacing w:before="0" w:after="283"/>
              <w:jc w:val="right"/>
              <w:rPr/>
            </w:pPr>
            <w:r>
              <w:rPr/>
              <w:t>11</w:t>
            </w:r>
          </w:p>
        </w:tc>
      </w:tr>
      <w:tr>
        <w:trPr/>
        <w:tc>
          <w:tcPr>
            <w:tcW w:w="1436" w:type="dxa"/>
            <w:tcBorders/>
            <w:vAlign w:val="center"/>
          </w:tcPr>
          <w:p>
            <w:pPr>
              <w:pStyle w:val="TableContents"/>
              <w:bidi w:val="0"/>
              <w:spacing w:before="0" w:after="283"/>
              <w:jc w:val="left"/>
              <w:rPr/>
            </w:pPr>
            <w:r>
              <w:rPr/>
              <w:t>Section 2.02</w:t>
            </w:r>
          </w:p>
        </w:tc>
        <w:tc>
          <w:tcPr>
            <w:tcW w:w="4349" w:type="dxa"/>
            <w:tcBorders/>
            <w:vAlign w:val="center"/>
          </w:tcPr>
          <w:p>
            <w:pPr>
              <w:pStyle w:val="TableContents"/>
              <w:bidi w:val="0"/>
              <w:spacing w:before="0" w:after="283"/>
              <w:jc w:val="left"/>
              <w:rPr/>
            </w:pPr>
            <w:r>
              <w:rPr/>
              <w:t>Execution and Authentication.</w:t>
            </w:r>
          </w:p>
        </w:tc>
        <w:tc>
          <w:tcPr>
            <w:tcW w:w="323" w:type="dxa"/>
            <w:tcBorders/>
            <w:vAlign w:val="center"/>
          </w:tcPr>
          <w:p>
            <w:pPr>
              <w:pStyle w:val="TableContents"/>
              <w:bidi w:val="0"/>
              <w:spacing w:before="0" w:after="283"/>
              <w:jc w:val="right"/>
              <w:rPr/>
            </w:pPr>
            <w:r>
              <w:rPr/>
              <w:t>12</w:t>
            </w:r>
          </w:p>
        </w:tc>
      </w:tr>
      <w:tr>
        <w:trPr/>
        <w:tc>
          <w:tcPr>
            <w:tcW w:w="1436" w:type="dxa"/>
            <w:tcBorders/>
            <w:vAlign w:val="center"/>
          </w:tcPr>
          <w:p>
            <w:pPr>
              <w:pStyle w:val="TableContents"/>
              <w:bidi w:val="0"/>
              <w:spacing w:before="0" w:after="283"/>
              <w:jc w:val="left"/>
              <w:rPr/>
            </w:pPr>
            <w:r>
              <w:rPr/>
              <w:t>Section 2.03</w:t>
            </w:r>
          </w:p>
        </w:tc>
        <w:tc>
          <w:tcPr>
            <w:tcW w:w="4349" w:type="dxa"/>
            <w:tcBorders/>
            <w:vAlign w:val="center"/>
          </w:tcPr>
          <w:p>
            <w:pPr>
              <w:pStyle w:val="TableContents"/>
              <w:bidi w:val="0"/>
              <w:spacing w:before="0" w:after="283"/>
              <w:jc w:val="left"/>
              <w:rPr/>
            </w:pPr>
            <w:r>
              <w:rPr/>
              <w:t>Registrar and Paying Agent.</w:t>
            </w:r>
          </w:p>
        </w:tc>
        <w:tc>
          <w:tcPr>
            <w:tcW w:w="323" w:type="dxa"/>
            <w:tcBorders/>
            <w:vAlign w:val="center"/>
          </w:tcPr>
          <w:p>
            <w:pPr>
              <w:pStyle w:val="TableContents"/>
              <w:bidi w:val="0"/>
              <w:spacing w:before="0" w:after="283"/>
              <w:jc w:val="right"/>
              <w:rPr/>
            </w:pPr>
            <w:r>
              <w:rPr/>
              <w:t>13</w:t>
            </w:r>
          </w:p>
        </w:tc>
      </w:tr>
      <w:tr>
        <w:trPr/>
        <w:tc>
          <w:tcPr>
            <w:tcW w:w="1436" w:type="dxa"/>
            <w:tcBorders/>
            <w:vAlign w:val="center"/>
          </w:tcPr>
          <w:p>
            <w:pPr>
              <w:pStyle w:val="TableContents"/>
              <w:bidi w:val="0"/>
              <w:spacing w:before="0" w:after="283"/>
              <w:jc w:val="left"/>
              <w:rPr/>
            </w:pPr>
            <w:r>
              <w:rPr/>
              <w:t>Section 2.04</w:t>
            </w:r>
          </w:p>
        </w:tc>
        <w:tc>
          <w:tcPr>
            <w:tcW w:w="4349" w:type="dxa"/>
            <w:tcBorders/>
            <w:vAlign w:val="center"/>
          </w:tcPr>
          <w:p>
            <w:pPr>
              <w:pStyle w:val="TableContents"/>
              <w:bidi w:val="0"/>
              <w:spacing w:before="0" w:after="283"/>
              <w:jc w:val="left"/>
              <w:rPr/>
            </w:pPr>
            <w:r>
              <w:rPr/>
              <w:t>Paying Agent to Hold Money in Trust.</w:t>
            </w:r>
          </w:p>
        </w:tc>
        <w:tc>
          <w:tcPr>
            <w:tcW w:w="323" w:type="dxa"/>
            <w:tcBorders/>
            <w:vAlign w:val="center"/>
          </w:tcPr>
          <w:p>
            <w:pPr>
              <w:pStyle w:val="TableContents"/>
              <w:bidi w:val="0"/>
              <w:spacing w:before="0" w:after="283"/>
              <w:jc w:val="right"/>
              <w:rPr/>
            </w:pPr>
            <w:r>
              <w:rPr/>
              <w:t>14</w:t>
            </w:r>
          </w:p>
        </w:tc>
      </w:tr>
      <w:tr>
        <w:trPr/>
        <w:tc>
          <w:tcPr>
            <w:tcW w:w="1436" w:type="dxa"/>
            <w:tcBorders/>
            <w:vAlign w:val="center"/>
          </w:tcPr>
          <w:p>
            <w:pPr>
              <w:pStyle w:val="TableContents"/>
              <w:bidi w:val="0"/>
              <w:spacing w:before="0" w:after="283"/>
              <w:jc w:val="left"/>
              <w:rPr/>
            </w:pPr>
            <w:r>
              <w:rPr/>
              <w:t>Section 2.05</w:t>
            </w:r>
          </w:p>
        </w:tc>
        <w:tc>
          <w:tcPr>
            <w:tcW w:w="4349" w:type="dxa"/>
            <w:tcBorders/>
            <w:vAlign w:val="center"/>
          </w:tcPr>
          <w:p>
            <w:pPr>
              <w:pStyle w:val="TableContents"/>
              <w:bidi w:val="0"/>
              <w:spacing w:before="0" w:after="283"/>
              <w:jc w:val="left"/>
              <w:rPr/>
            </w:pPr>
            <w:r>
              <w:rPr/>
              <w:t>Holder Lists.</w:t>
            </w:r>
          </w:p>
        </w:tc>
        <w:tc>
          <w:tcPr>
            <w:tcW w:w="323" w:type="dxa"/>
            <w:tcBorders/>
            <w:vAlign w:val="center"/>
          </w:tcPr>
          <w:p>
            <w:pPr>
              <w:pStyle w:val="TableContents"/>
              <w:bidi w:val="0"/>
              <w:spacing w:before="0" w:after="283"/>
              <w:jc w:val="right"/>
              <w:rPr/>
            </w:pPr>
            <w:r>
              <w:rPr/>
              <w:t>14</w:t>
            </w:r>
          </w:p>
        </w:tc>
      </w:tr>
      <w:tr>
        <w:trPr/>
        <w:tc>
          <w:tcPr>
            <w:tcW w:w="1436" w:type="dxa"/>
            <w:tcBorders/>
            <w:vAlign w:val="center"/>
          </w:tcPr>
          <w:p>
            <w:pPr>
              <w:pStyle w:val="TableContents"/>
              <w:bidi w:val="0"/>
              <w:spacing w:before="0" w:after="283"/>
              <w:jc w:val="left"/>
              <w:rPr/>
            </w:pPr>
            <w:r>
              <w:rPr/>
              <w:t>Section 2.06</w:t>
            </w:r>
          </w:p>
        </w:tc>
        <w:tc>
          <w:tcPr>
            <w:tcW w:w="4349" w:type="dxa"/>
            <w:tcBorders/>
            <w:vAlign w:val="center"/>
          </w:tcPr>
          <w:p>
            <w:pPr>
              <w:pStyle w:val="TableContents"/>
              <w:bidi w:val="0"/>
              <w:spacing w:before="0" w:after="283"/>
              <w:jc w:val="left"/>
              <w:rPr/>
            </w:pPr>
            <w:r>
              <w:rPr/>
              <w:t>Transfer and Exchange.</w:t>
            </w:r>
          </w:p>
        </w:tc>
        <w:tc>
          <w:tcPr>
            <w:tcW w:w="323" w:type="dxa"/>
            <w:tcBorders/>
            <w:vAlign w:val="center"/>
          </w:tcPr>
          <w:p>
            <w:pPr>
              <w:pStyle w:val="TableContents"/>
              <w:bidi w:val="0"/>
              <w:spacing w:before="0" w:after="283"/>
              <w:jc w:val="right"/>
              <w:rPr/>
            </w:pPr>
            <w:r>
              <w:rPr/>
              <w:t>14</w:t>
            </w:r>
          </w:p>
        </w:tc>
      </w:tr>
      <w:tr>
        <w:trPr/>
        <w:tc>
          <w:tcPr>
            <w:tcW w:w="1436" w:type="dxa"/>
            <w:tcBorders/>
            <w:vAlign w:val="center"/>
          </w:tcPr>
          <w:p>
            <w:pPr>
              <w:pStyle w:val="TableContents"/>
              <w:bidi w:val="0"/>
              <w:spacing w:before="0" w:after="283"/>
              <w:jc w:val="left"/>
              <w:rPr/>
            </w:pPr>
            <w:r>
              <w:rPr/>
              <w:t>Section 2.07</w:t>
            </w:r>
          </w:p>
        </w:tc>
        <w:tc>
          <w:tcPr>
            <w:tcW w:w="4349" w:type="dxa"/>
            <w:tcBorders/>
            <w:vAlign w:val="center"/>
          </w:tcPr>
          <w:p>
            <w:pPr>
              <w:pStyle w:val="TableContents"/>
              <w:bidi w:val="0"/>
              <w:spacing w:before="0" w:after="283"/>
              <w:jc w:val="left"/>
              <w:rPr/>
            </w:pPr>
            <w:r>
              <w:rPr/>
              <w:t>Replacement Notes.</w:t>
            </w:r>
          </w:p>
        </w:tc>
        <w:tc>
          <w:tcPr>
            <w:tcW w:w="323" w:type="dxa"/>
            <w:tcBorders/>
            <w:vAlign w:val="center"/>
          </w:tcPr>
          <w:p>
            <w:pPr>
              <w:pStyle w:val="TableContents"/>
              <w:bidi w:val="0"/>
              <w:spacing w:before="0" w:after="283"/>
              <w:jc w:val="right"/>
              <w:rPr/>
            </w:pPr>
            <w:r>
              <w:rPr/>
              <w:t>28</w:t>
            </w:r>
          </w:p>
        </w:tc>
      </w:tr>
      <w:tr>
        <w:trPr/>
        <w:tc>
          <w:tcPr>
            <w:tcW w:w="1436" w:type="dxa"/>
            <w:tcBorders/>
            <w:vAlign w:val="center"/>
          </w:tcPr>
          <w:p>
            <w:pPr>
              <w:pStyle w:val="TableContents"/>
              <w:bidi w:val="0"/>
              <w:spacing w:before="0" w:after="283"/>
              <w:jc w:val="left"/>
              <w:rPr/>
            </w:pPr>
            <w:r>
              <w:rPr/>
              <w:t>Section 2.08</w:t>
            </w:r>
          </w:p>
        </w:tc>
        <w:tc>
          <w:tcPr>
            <w:tcW w:w="4349" w:type="dxa"/>
            <w:tcBorders/>
            <w:vAlign w:val="center"/>
          </w:tcPr>
          <w:p>
            <w:pPr>
              <w:pStyle w:val="TableContents"/>
              <w:bidi w:val="0"/>
              <w:spacing w:before="0" w:after="283"/>
              <w:jc w:val="left"/>
              <w:rPr/>
            </w:pPr>
            <w:r>
              <w:rPr/>
              <w:t>Outstanding Notes.</w:t>
            </w:r>
          </w:p>
        </w:tc>
        <w:tc>
          <w:tcPr>
            <w:tcW w:w="323" w:type="dxa"/>
            <w:tcBorders/>
            <w:vAlign w:val="center"/>
          </w:tcPr>
          <w:p>
            <w:pPr>
              <w:pStyle w:val="TableContents"/>
              <w:bidi w:val="0"/>
              <w:spacing w:before="0" w:after="283"/>
              <w:jc w:val="right"/>
              <w:rPr/>
            </w:pPr>
            <w:r>
              <w:rPr/>
              <w:t>28</w:t>
            </w:r>
          </w:p>
        </w:tc>
      </w:tr>
      <w:tr>
        <w:trPr/>
        <w:tc>
          <w:tcPr>
            <w:tcW w:w="1436" w:type="dxa"/>
            <w:tcBorders/>
            <w:vAlign w:val="center"/>
          </w:tcPr>
          <w:p>
            <w:pPr>
              <w:pStyle w:val="TableContents"/>
              <w:bidi w:val="0"/>
              <w:spacing w:before="0" w:after="283"/>
              <w:jc w:val="left"/>
              <w:rPr/>
            </w:pPr>
            <w:r>
              <w:rPr/>
              <w:t>Section 2.09</w:t>
            </w:r>
          </w:p>
        </w:tc>
        <w:tc>
          <w:tcPr>
            <w:tcW w:w="4349" w:type="dxa"/>
            <w:tcBorders/>
            <w:vAlign w:val="center"/>
          </w:tcPr>
          <w:p>
            <w:pPr>
              <w:pStyle w:val="TableContents"/>
              <w:bidi w:val="0"/>
              <w:spacing w:before="0" w:after="283"/>
              <w:jc w:val="left"/>
              <w:rPr/>
            </w:pPr>
            <w:r>
              <w:rPr/>
              <w:t>Treasury Notes.</w:t>
            </w:r>
          </w:p>
        </w:tc>
        <w:tc>
          <w:tcPr>
            <w:tcW w:w="323" w:type="dxa"/>
            <w:tcBorders/>
            <w:vAlign w:val="center"/>
          </w:tcPr>
          <w:p>
            <w:pPr>
              <w:pStyle w:val="TableContents"/>
              <w:bidi w:val="0"/>
              <w:spacing w:before="0" w:after="283"/>
              <w:jc w:val="right"/>
              <w:rPr/>
            </w:pPr>
            <w:r>
              <w:rPr/>
              <w:t>29</w:t>
            </w:r>
          </w:p>
        </w:tc>
      </w:tr>
      <w:tr>
        <w:trPr/>
        <w:tc>
          <w:tcPr>
            <w:tcW w:w="1436" w:type="dxa"/>
            <w:tcBorders/>
            <w:vAlign w:val="center"/>
          </w:tcPr>
          <w:p>
            <w:pPr>
              <w:pStyle w:val="TableContents"/>
              <w:bidi w:val="0"/>
              <w:spacing w:before="0" w:after="283"/>
              <w:jc w:val="left"/>
              <w:rPr/>
            </w:pPr>
            <w:r>
              <w:rPr/>
              <w:t>Section 2.10</w:t>
            </w:r>
          </w:p>
        </w:tc>
        <w:tc>
          <w:tcPr>
            <w:tcW w:w="4349" w:type="dxa"/>
            <w:tcBorders/>
            <w:vAlign w:val="center"/>
          </w:tcPr>
          <w:p>
            <w:pPr>
              <w:pStyle w:val="TableContents"/>
              <w:bidi w:val="0"/>
              <w:spacing w:before="0" w:after="283"/>
              <w:jc w:val="left"/>
              <w:rPr/>
            </w:pPr>
            <w:r>
              <w:rPr/>
              <w:t>Temporary Notes.</w:t>
            </w:r>
          </w:p>
        </w:tc>
        <w:tc>
          <w:tcPr>
            <w:tcW w:w="323" w:type="dxa"/>
            <w:tcBorders/>
            <w:vAlign w:val="center"/>
          </w:tcPr>
          <w:p>
            <w:pPr>
              <w:pStyle w:val="TableContents"/>
              <w:bidi w:val="0"/>
              <w:spacing w:before="0" w:after="283"/>
              <w:jc w:val="right"/>
              <w:rPr/>
            </w:pPr>
            <w:r>
              <w:rPr/>
              <w:t>29</w:t>
            </w:r>
          </w:p>
        </w:tc>
      </w:tr>
      <w:tr>
        <w:trPr/>
        <w:tc>
          <w:tcPr>
            <w:tcW w:w="1436" w:type="dxa"/>
            <w:tcBorders/>
            <w:vAlign w:val="center"/>
          </w:tcPr>
          <w:p>
            <w:pPr>
              <w:pStyle w:val="TableContents"/>
              <w:bidi w:val="0"/>
              <w:spacing w:before="0" w:after="283"/>
              <w:jc w:val="left"/>
              <w:rPr/>
            </w:pPr>
            <w:r>
              <w:rPr/>
              <w:t>Section 2.11</w:t>
            </w:r>
          </w:p>
        </w:tc>
        <w:tc>
          <w:tcPr>
            <w:tcW w:w="4349" w:type="dxa"/>
            <w:tcBorders/>
            <w:vAlign w:val="center"/>
          </w:tcPr>
          <w:p>
            <w:pPr>
              <w:pStyle w:val="TableContents"/>
              <w:bidi w:val="0"/>
              <w:spacing w:before="0" w:after="283"/>
              <w:jc w:val="left"/>
              <w:rPr/>
            </w:pPr>
            <w:r>
              <w:rPr/>
              <w:t>Cancellation.</w:t>
            </w:r>
          </w:p>
        </w:tc>
        <w:tc>
          <w:tcPr>
            <w:tcW w:w="323" w:type="dxa"/>
            <w:tcBorders/>
            <w:vAlign w:val="center"/>
          </w:tcPr>
          <w:p>
            <w:pPr>
              <w:pStyle w:val="TableContents"/>
              <w:bidi w:val="0"/>
              <w:spacing w:before="0" w:after="283"/>
              <w:jc w:val="right"/>
              <w:rPr/>
            </w:pPr>
            <w:r>
              <w:rPr/>
              <w:t>29</w:t>
            </w:r>
          </w:p>
        </w:tc>
      </w:tr>
      <w:tr>
        <w:trPr/>
        <w:tc>
          <w:tcPr>
            <w:tcW w:w="1436" w:type="dxa"/>
            <w:tcBorders/>
            <w:vAlign w:val="center"/>
          </w:tcPr>
          <w:p>
            <w:pPr>
              <w:pStyle w:val="TableContents"/>
              <w:bidi w:val="0"/>
              <w:spacing w:before="0" w:after="283"/>
              <w:jc w:val="left"/>
              <w:rPr/>
            </w:pPr>
            <w:r>
              <w:rPr/>
              <w:t>Section 2.12</w:t>
            </w:r>
          </w:p>
        </w:tc>
        <w:tc>
          <w:tcPr>
            <w:tcW w:w="4349" w:type="dxa"/>
            <w:tcBorders/>
            <w:vAlign w:val="center"/>
          </w:tcPr>
          <w:p>
            <w:pPr>
              <w:pStyle w:val="TableContents"/>
              <w:bidi w:val="0"/>
              <w:spacing w:before="0" w:after="283"/>
              <w:jc w:val="left"/>
              <w:rPr/>
            </w:pPr>
            <w:r>
              <w:rPr/>
              <w:t>Defaulted Interest.</w:t>
            </w:r>
          </w:p>
        </w:tc>
        <w:tc>
          <w:tcPr>
            <w:tcW w:w="323" w:type="dxa"/>
            <w:tcBorders/>
            <w:vAlign w:val="center"/>
          </w:tcPr>
          <w:p>
            <w:pPr>
              <w:pStyle w:val="TableContents"/>
              <w:bidi w:val="0"/>
              <w:spacing w:before="0" w:after="283"/>
              <w:jc w:val="right"/>
              <w:rPr/>
            </w:pPr>
            <w:r>
              <w:rPr/>
              <w:t>29</w:t>
            </w:r>
          </w:p>
        </w:tc>
      </w:tr>
      <w:tr>
        <w:trPr/>
        <w:tc>
          <w:tcPr>
            <w:tcW w:w="1436" w:type="dxa"/>
            <w:tcBorders/>
            <w:vAlign w:val="center"/>
          </w:tcPr>
          <w:p>
            <w:pPr>
              <w:pStyle w:val="TableContents"/>
              <w:bidi w:val="0"/>
              <w:spacing w:before="0" w:after="283"/>
              <w:jc w:val="left"/>
              <w:rPr/>
            </w:pPr>
            <w:r>
              <w:rPr/>
              <w:t>Section 2.13</w:t>
            </w:r>
          </w:p>
        </w:tc>
        <w:tc>
          <w:tcPr>
            <w:tcW w:w="4349" w:type="dxa"/>
            <w:tcBorders/>
            <w:vAlign w:val="center"/>
          </w:tcPr>
          <w:p>
            <w:pPr>
              <w:pStyle w:val="TableContents"/>
              <w:bidi w:val="0"/>
              <w:spacing w:before="0" w:after="283"/>
              <w:jc w:val="left"/>
              <w:rPr/>
            </w:pPr>
            <w:r>
              <w:rPr/>
              <w:t>CUSIP Numbers.</w:t>
            </w:r>
          </w:p>
        </w:tc>
        <w:tc>
          <w:tcPr>
            <w:tcW w:w="323" w:type="dxa"/>
            <w:tcBorders/>
            <w:vAlign w:val="center"/>
          </w:tcPr>
          <w:p>
            <w:pPr>
              <w:pStyle w:val="TableContents"/>
              <w:bidi w:val="0"/>
              <w:spacing w:before="0" w:after="283"/>
              <w:jc w:val="right"/>
              <w:rPr/>
            </w:pPr>
            <w:r>
              <w:rPr/>
              <w:t>30</w:t>
            </w:r>
          </w:p>
        </w:tc>
      </w:tr>
      <w:tr>
        <w:trPr/>
        <w:tc>
          <w:tcPr>
            <w:tcW w:w="1436" w:type="dxa"/>
            <w:tcBorders/>
            <w:vAlign w:val="center"/>
          </w:tcPr>
          <w:p>
            <w:pPr>
              <w:pStyle w:val="TableContents"/>
              <w:bidi w:val="0"/>
              <w:spacing w:before="0" w:after="283"/>
              <w:jc w:val="left"/>
              <w:rPr/>
            </w:pPr>
            <w:r>
              <w:rPr/>
              <w:t>Section 2.14</w:t>
            </w:r>
          </w:p>
        </w:tc>
        <w:tc>
          <w:tcPr>
            <w:tcW w:w="4349" w:type="dxa"/>
            <w:tcBorders/>
            <w:vAlign w:val="center"/>
          </w:tcPr>
          <w:p>
            <w:pPr>
              <w:pStyle w:val="TableContents"/>
              <w:bidi w:val="0"/>
              <w:spacing w:before="0" w:after="283"/>
              <w:jc w:val="left"/>
              <w:rPr/>
            </w:pPr>
            <w:r>
              <w:rPr/>
              <w:t>FATCA.</w:t>
            </w:r>
          </w:p>
        </w:tc>
        <w:tc>
          <w:tcPr>
            <w:tcW w:w="323" w:type="dxa"/>
            <w:tcBorders/>
            <w:vAlign w:val="center"/>
          </w:tcPr>
          <w:p>
            <w:pPr>
              <w:pStyle w:val="TableContents"/>
              <w:bidi w:val="0"/>
              <w:spacing w:before="0" w:after="283"/>
              <w:jc w:val="right"/>
              <w:rPr/>
            </w:pPr>
            <w:r>
              <w:rPr/>
              <w:t>30</w:t>
            </w:r>
          </w:p>
        </w:tc>
      </w:tr>
      <w:tr>
        <w:trPr/>
        <w:tc>
          <w:tcPr>
            <w:tcW w:w="6108" w:type="dxa"/>
            <w:gridSpan w:val="3"/>
            <w:tcBorders/>
            <w:vAlign w:val="center"/>
          </w:tcPr>
          <w:p>
            <w:pPr>
              <w:pStyle w:val="TableContents"/>
              <w:bidi w:val="0"/>
              <w:spacing w:before="0" w:after="283"/>
              <w:jc w:val="center"/>
              <w:rPr/>
            </w:pPr>
            <w:r>
              <w:rPr/>
              <w:t>Article 3</w:t>
            </w:r>
          </w:p>
        </w:tc>
      </w:tr>
      <w:tr>
        <w:trPr/>
        <w:tc>
          <w:tcPr>
            <w:tcW w:w="6108" w:type="dxa"/>
            <w:gridSpan w:val="3"/>
            <w:tcBorders/>
            <w:vAlign w:val="center"/>
          </w:tcPr>
          <w:p>
            <w:pPr>
              <w:pStyle w:val="TableContents"/>
              <w:bidi w:val="0"/>
              <w:spacing w:before="0" w:after="283"/>
              <w:jc w:val="center"/>
              <w:rPr/>
            </w:pPr>
            <w:r>
              <w:rPr/>
              <w:t> </w:t>
            </w:r>
          </w:p>
        </w:tc>
      </w:tr>
      <w:tr>
        <w:trPr/>
        <w:tc>
          <w:tcPr>
            <w:tcW w:w="6108" w:type="dxa"/>
            <w:gridSpan w:val="3"/>
            <w:tcBorders/>
            <w:vAlign w:val="center"/>
          </w:tcPr>
          <w:p>
            <w:pPr>
              <w:pStyle w:val="TableContents"/>
              <w:bidi w:val="0"/>
              <w:spacing w:before="0" w:after="283"/>
              <w:jc w:val="center"/>
              <w:rPr/>
            </w:pPr>
            <w:r>
              <w:rPr/>
              <w:t>REDEMPTION AND PREPAYMENT</w:t>
            </w:r>
          </w:p>
        </w:tc>
      </w:tr>
      <w:tr>
        <w:trPr/>
        <w:tc>
          <w:tcPr>
            <w:tcW w:w="6108" w:type="dxa"/>
            <w:gridSpan w:val="3"/>
            <w:tcBorders/>
            <w:vAlign w:val="center"/>
          </w:tcPr>
          <w:p>
            <w:pPr>
              <w:pStyle w:val="TableContents"/>
              <w:bidi w:val="0"/>
              <w:spacing w:before="0" w:after="283"/>
              <w:jc w:val="center"/>
              <w:rPr/>
            </w:pPr>
            <w:r>
              <w:rPr/>
              <w:t> </w:t>
            </w:r>
          </w:p>
        </w:tc>
      </w:tr>
      <w:tr>
        <w:trPr/>
        <w:tc>
          <w:tcPr>
            <w:tcW w:w="1436" w:type="dxa"/>
            <w:tcBorders/>
            <w:vAlign w:val="center"/>
          </w:tcPr>
          <w:p>
            <w:pPr>
              <w:pStyle w:val="TableContents"/>
              <w:bidi w:val="0"/>
              <w:spacing w:before="0" w:after="283"/>
              <w:jc w:val="left"/>
              <w:rPr/>
            </w:pPr>
            <w:r>
              <w:rPr/>
              <w:t>Section 3.01</w:t>
            </w:r>
          </w:p>
        </w:tc>
        <w:tc>
          <w:tcPr>
            <w:tcW w:w="4349" w:type="dxa"/>
            <w:tcBorders/>
            <w:vAlign w:val="center"/>
          </w:tcPr>
          <w:p>
            <w:pPr>
              <w:pStyle w:val="TableContents"/>
              <w:bidi w:val="0"/>
              <w:spacing w:before="0" w:after="283"/>
              <w:jc w:val="left"/>
              <w:rPr/>
            </w:pPr>
            <w:r>
              <w:rPr/>
              <w:t>Notices to Trustee.</w:t>
            </w:r>
          </w:p>
        </w:tc>
        <w:tc>
          <w:tcPr>
            <w:tcW w:w="323" w:type="dxa"/>
            <w:tcBorders/>
            <w:vAlign w:val="center"/>
          </w:tcPr>
          <w:p>
            <w:pPr>
              <w:pStyle w:val="TableContents"/>
              <w:bidi w:val="0"/>
              <w:spacing w:before="0" w:after="283"/>
              <w:jc w:val="right"/>
              <w:rPr/>
            </w:pPr>
            <w:r>
              <w:rPr/>
              <w:t>30</w:t>
            </w:r>
          </w:p>
        </w:tc>
      </w:tr>
      <w:tr>
        <w:trPr/>
        <w:tc>
          <w:tcPr>
            <w:tcW w:w="1436" w:type="dxa"/>
            <w:tcBorders/>
            <w:vAlign w:val="center"/>
          </w:tcPr>
          <w:p>
            <w:pPr>
              <w:pStyle w:val="TableContents"/>
              <w:bidi w:val="0"/>
              <w:spacing w:before="0" w:after="283"/>
              <w:jc w:val="left"/>
              <w:rPr/>
            </w:pPr>
            <w:r>
              <w:rPr/>
              <w:t>Section 3.02</w:t>
            </w:r>
          </w:p>
        </w:tc>
        <w:tc>
          <w:tcPr>
            <w:tcW w:w="4349" w:type="dxa"/>
            <w:tcBorders/>
            <w:vAlign w:val="center"/>
          </w:tcPr>
          <w:p>
            <w:pPr>
              <w:pStyle w:val="TableContents"/>
              <w:bidi w:val="0"/>
              <w:spacing w:before="0" w:after="283"/>
              <w:jc w:val="left"/>
              <w:rPr/>
            </w:pPr>
            <w:r>
              <w:rPr/>
              <w:t>Selection of Notes to Be Redeemed.</w:t>
            </w:r>
          </w:p>
        </w:tc>
        <w:tc>
          <w:tcPr>
            <w:tcW w:w="323" w:type="dxa"/>
            <w:tcBorders/>
            <w:vAlign w:val="center"/>
          </w:tcPr>
          <w:p>
            <w:pPr>
              <w:pStyle w:val="TableContents"/>
              <w:bidi w:val="0"/>
              <w:spacing w:before="0" w:after="283"/>
              <w:jc w:val="right"/>
              <w:rPr/>
            </w:pPr>
            <w:r>
              <w:rPr/>
              <w:t>31</w:t>
            </w:r>
          </w:p>
        </w:tc>
      </w:tr>
      <w:tr>
        <w:trPr/>
        <w:tc>
          <w:tcPr>
            <w:tcW w:w="1436" w:type="dxa"/>
            <w:tcBorders/>
            <w:vAlign w:val="center"/>
          </w:tcPr>
          <w:p>
            <w:pPr>
              <w:pStyle w:val="TableContents"/>
              <w:bidi w:val="0"/>
              <w:spacing w:before="0" w:after="283"/>
              <w:jc w:val="left"/>
              <w:rPr/>
            </w:pPr>
            <w:r>
              <w:rPr/>
              <w:t>Section 3.03</w:t>
            </w:r>
          </w:p>
        </w:tc>
        <w:tc>
          <w:tcPr>
            <w:tcW w:w="4349" w:type="dxa"/>
            <w:tcBorders/>
            <w:vAlign w:val="center"/>
          </w:tcPr>
          <w:p>
            <w:pPr>
              <w:pStyle w:val="TableContents"/>
              <w:bidi w:val="0"/>
              <w:spacing w:before="0" w:after="283"/>
              <w:jc w:val="left"/>
              <w:rPr/>
            </w:pPr>
            <w:r>
              <w:rPr/>
              <w:t>Notice of Redemption.</w:t>
            </w:r>
          </w:p>
        </w:tc>
        <w:tc>
          <w:tcPr>
            <w:tcW w:w="323" w:type="dxa"/>
            <w:tcBorders/>
            <w:vAlign w:val="center"/>
          </w:tcPr>
          <w:p>
            <w:pPr>
              <w:pStyle w:val="TableContents"/>
              <w:bidi w:val="0"/>
              <w:spacing w:before="0" w:after="283"/>
              <w:jc w:val="right"/>
              <w:rPr/>
            </w:pPr>
            <w:r>
              <w:rPr/>
              <w:t>31</w:t>
            </w:r>
          </w:p>
        </w:tc>
      </w:tr>
      <w:tr>
        <w:trPr/>
        <w:tc>
          <w:tcPr>
            <w:tcW w:w="1436" w:type="dxa"/>
            <w:tcBorders/>
            <w:vAlign w:val="center"/>
          </w:tcPr>
          <w:p>
            <w:pPr>
              <w:pStyle w:val="TableContents"/>
              <w:bidi w:val="0"/>
              <w:spacing w:before="0" w:after="283"/>
              <w:jc w:val="left"/>
              <w:rPr/>
            </w:pPr>
            <w:r>
              <w:rPr/>
              <w:t>Section 3.04</w:t>
            </w:r>
          </w:p>
        </w:tc>
        <w:tc>
          <w:tcPr>
            <w:tcW w:w="4349" w:type="dxa"/>
            <w:tcBorders/>
            <w:vAlign w:val="center"/>
          </w:tcPr>
          <w:p>
            <w:pPr>
              <w:pStyle w:val="TableContents"/>
              <w:bidi w:val="0"/>
              <w:spacing w:before="0" w:after="283"/>
              <w:jc w:val="left"/>
              <w:rPr/>
            </w:pPr>
            <w:r>
              <w:rPr/>
              <w:t>Effect of Notice of Redemption.</w:t>
            </w:r>
          </w:p>
        </w:tc>
        <w:tc>
          <w:tcPr>
            <w:tcW w:w="323" w:type="dxa"/>
            <w:tcBorders/>
            <w:vAlign w:val="center"/>
          </w:tcPr>
          <w:p>
            <w:pPr>
              <w:pStyle w:val="TableContents"/>
              <w:bidi w:val="0"/>
              <w:spacing w:before="0" w:after="283"/>
              <w:jc w:val="right"/>
              <w:rPr/>
            </w:pPr>
            <w:r>
              <w:rPr/>
              <w:t>32</w:t>
            </w:r>
          </w:p>
        </w:tc>
      </w:tr>
      <w:tr>
        <w:trPr/>
        <w:tc>
          <w:tcPr>
            <w:tcW w:w="1436" w:type="dxa"/>
            <w:tcBorders/>
            <w:vAlign w:val="center"/>
          </w:tcPr>
          <w:p>
            <w:pPr>
              <w:pStyle w:val="TableContents"/>
              <w:bidi w:val="0"/>
              <w:spacing w:before="0" w:after="283"/>
              <w:jc w:val="left"/>
              <w:rPr/>
            </w:pPr>
            <w:r>
              <w:rPr/>
              <w:t>Section 3.05</w:t>
            </w:r>
          </w:p>
        </w:tc>
        <w:tc>
          <w:tcPr>
            <w:tcW w:w="4349" w:type="dxa"/>
            <w:tcBorders/>
            <w:vAlign w:val="center"/>
          </w:tcPr>
          <w:p>
            <w:pPr>
              <w:pStyle w:val="TableContents"/>
              <w:bidi w:val="0"/>
              <w:spacing w:before="0" w:after="283"/>
              <w:jc w:val="left"/>
              <w:rPr/>
            </w:pPr>
            <w:r>
              <w:rPr/>
              <w:t>Deposit of Redemption Price.</w:t>
            </w:r>
          </w:p>
        </w:tc>
        <w:tc>
          <w:tcPr>
            <w:tcW w:w="323" w:type="dxa"/>
            <w:tcBorders/>
            <w:vAlign w:val="center"/>
          </w:tcPr>
          <w:p>
            <w:pPr>
              <w:pStyle w:val="TableContents"/>
              <w:bidi w:val="0"/>
              <w:spacing w:before="0" w:after="283"/>
              <w:jc w:val="right"/>
              <w:rPr/>
            </w:pPr>
            <w:r>
              <w:rPr/>
              <w:t>32</w:t>
            </w:r>
          </w:p>
        </w:tc>
      </w:tr>
      <w:tr>
        <w:trPr/>
        <w:tc>
          <w:tcPr>
            <w:tcW w:w="1436" w:type="dxa"/>
            <w:tcBorders/>
            <w:vAlign w:val="center"/>
          </w:tcPr>
          <w:p>
            <w:pPr>
              <w:pStyle w:val="TableContents"/>
              <w:bidi w:val="0"/>
              <w:spacing w:before="0" w:after="283"/>
              <w:jc w:val="left"/>
              <w:rPr/>
            </w:pPr>
            <w:r>
              <w:rPr/>
              <w:t>Section 3.06</w:t>
            </w:r>
          </w:p>
        </w:tc>
        <w:tc>
          <w:tcPr>
            <w:tcW w:w="4349" w:type="dxa"/>
            <w:tcBorders/>
            <w:vAlign w:val="center"/>
          </w:tcPr>
          <w:p>
            <w:pPr>
              <w:pStyle w:val="TableContents"/>
              <w:bidi w:val="0"/>
              <w:spacing w:before="0" w:after="283"/>
              <w:jc w:val="left"/>
              <w:rPr/>
            </w:pPr>
            <w:r>
              <w:rPr/>
              <w:t>Notes Redeemed in Part.</w:t>
            </w:r>
          </w:p>
        </w:tc>
        <w:tc>
          <w:tcPr>
            <w:tcW w:w="323" w:type="dxa"/>
            <w:tcBorders/>
            <w:vAlign w:val="center"/>
          </w:tcPr>
          <w:p>
            <w:pPr>
              <w:pStyle w:val="TableContents"/>
              <w:bidi w:val="0"/>
              <w:spacing w:before="0" w:after="283"/>
              <w:jc w:val="right"/>
              <w:rPr/>
            </w:pPr>
            <w:r>
              <w:rPr/>
              <w:t>33</w:t>
            </w:r>
          </w:p>
        </w:tc>
      </w:tr>
      <w:tr>
        <w:trPr/>
        <w:tc>
          <w:tcPr>
            <w:tcW w:w="1436" w:type="dxa"/>
            <w:tcBorders/>
            <w:vAlign w:val="center"/>
          </w:tcPr>
          <w:p>
            <w:pPr>
              <w:pStyle w:val="TableContents"/>
              <w:bidi w:val="0"/>
              <w:spacing w:before="0" w:after="283"/>
              <w:jc w:val="left"/>
              <w:rPr/>
            </w:pPr>
            <w:r>
              <w:rPr/>
              <w:t>Section 3.07</w:t>
            </w:r>
          </w:p>
        </w:tc>
        <w:tc>
          <w:tcPr>
            <w:tcW w:w="4349" w:type="dxa"/>
            <w:tcBorders/>
            <w:vAlign w:val="center"/>
          </w:tcPr>
          <w:p>
            <w:pPr>
              <w:pStyle w:val="TableContents"/>
              <w:bidi w:val="0"/>
              <w:spacing w:before="0" w:after="283"/>
              <w:jc w:val="left"/>
              <w:rPr/>
            </w:pPr>
            <w:r>
              <w:rPr/>
              <w:t>Optional Redemption.</w:t>
            </w:r>
          </w:p>
        </w:tc>
        <w:tc>
          <w:tcPr>
            <w:tcW w:w="323" w:type="dxa"/>
            <w:tcBorders/>
            <w:vAlign w:val="center"/>
          </w:tcPr>
          <w:p>
            <w:pPr>
              <w:pStyle w:val="TableContents"/>
              <w:bidi w:val="0"/>
              <w:spacing w:before="0" w:after="283"/>
              <w:jc w:val="right"/>
              <w:rPr/>
            </w:pPr>
            <w:r>
              <w:rPr/>
              <w:t>33</w:t>
            </w:r>
          </w:p>
        </w:tc>
      </w:tr>
      <w:tr>
        <w:trPr/>
        <w:tc>
          <w:tcPr>
            <w:tcW w:w="1436" w:type="dxa"/>
            <w:tcBorders/>
            <w:vAlign w:val="center"/>
          </w:tcPr>
          <w:p>
            <w:pPr>
              <w:pStyle w:val="TableContents"/>
              <w:bidi w:val="0"/>
              <w:spacing w:before="0" w:after="283"/>
              <w:jc w:val="left"/>
              <w:rPr/>
            </w:pPr>
            <w:r>
              <w:rPr/>
              <w:t>Section 3.08</w:t>
            </w:r>
          </w:p>
        </w:tc>
        <w:tc>
          <w:tcPr>
            <w:tcW w:w="4349" w:type="dxa"/>
            <w:tcBorders/>
            <w:vAlign w:val="center"/>
          </w:tcPr>
          <w:p>
            <w:pPr>
              <w:pStyle w:val="TableContents"/>
              <w:bidi w:val="0"/>
              <w:spacing w:before="0" w:after="283"/>
              <w:jc w:val="left"/>
              <w:rPr/>
            </w:pPr>
            <w:r>
              <w:rPr/>
              <w:t>Mandatory Redemption.</w:t>
            </w:r>
          </w:p>
        </w:tc>
        <w:tc>
          <w:tcPr>
            <w:tcW w:w="323" w:type="dxa"/>
            <w:tcBorders/>
            <w:vAlign w:val="center"/>
          </w:tcPr>
          <w:p>
            <w:pPr>
              <w:pStyle w:val="TableContents"/>
              <w:bidi w:val="0"/>
              <w:spacing w:before="0" w:after="283"/>
              <w:jc w:val="right"/>
              <w:rPr/>
            </w:pPr>
            <w:r>
              <w:rPr/>
              <w:t>34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214" w:type="dxa"/>
        <w:jc w:val="left"/>
        <w:tblInd w:w="0" w:type="dxa"/>
        <w:tblLayout w:type="fixed"/>
        <w:tblCellMar>
          <w:top w:w="0" w:type="dxa"/>
          <w:left w:w="0" w:type="dxa"/>
          <w:bottom w:w="0" w:type="dxa"/>
          <w:right w:w="0" w:type="dxa"/>
        </w:tblCellMar>
      </w:tblPr>
      <w:tblGrid>
        <w:gridCol w:w="1482"/>
        <w:gridCol w:w="4398"/>
        <w:gridCol w:w="334"/>
      </w:tblGrid>
      <w:tr>
        <w:trPr/>
        <w:tc>
          <w:tcPr>
            <w:tcW w:w="6214" w:type="dxa"/>
            <w:gridSpan w:val="3"/>
            <w:tcBorders/>
            <w:vAlign w:val="center"/>
          </w:tcPr>
          <w:p>
            <w:pPr>
              <w:pStyle w:val="TableContents"/>
              <w:bidi w:val="0"/>
              <w:spacing w:before="0" w:after="283"/>
              <w:jc w:val="center"/>
              <w:rPr/>
            </w:pPr>
            <w:r>
              <w:rPr/>
              <w:t>Article 4</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COVENANTS</w:t>
            </w:r>
          </w:p>
        </w:tc>
      </w:tr>
      <w:tr>
        <w:trPr/>
        <w:tc>
          <w:tcPr>
            <w:tcW w:w="6214" w:type="dxa"/>
            <w:gridSpan w:val="3"/>
            <w:tcBorders/>
            <w:vAlign w:val="center"/>
          </w:tcPr>
          <w:p>
            <w:pPr>
              <w:pStyle w:val="TableContents"/>
              <w:bidi w:val="0"/>
              <w:spacing w:before="0" w:after="283"/>
              <w:jc w:val="center"/>
              <w:rPr/>
            </w:pPr>
            <w:r>
              <w:rPr/>
              <w:t> </w:t>
            </w:r>
          </w:p>
        </w:tc>
      </w:tr>
      <w:tr>
        <w:trPr/>
        <w:tc>
          <w:tcPr>
            <w:tcW w:w="1482" w:type="dxa"/>
            <w:tcBorders/>
            <w:vAlign w:val="center"/>
          </w:tcPr>
          <w:p>
            <w:pPr>
              <w:pStyle w:val="TableContents"/>
              <w:bidi w:val="0"/>
              <w:spacing w:before="0" w:after="283"/>
              <w:jc w:val="left"/>
              <w:rPr/>
            </w:pPr>
            <w:r>
              <w:rPr/>
              <w:t>Section 4.03</w:t>
            </w:r>
          </w:p>
        </w:tc>
        <w:tc>
          <w:tcPr>
            <w:tcW w:w="4398" w:type="dxa"/>
            <w:tcBorders/>
            <w:vAlign w:val="center"/>
          </w:tcPr>
          <w:p>
            <w:pPr>
              <w:pStyle w:val="TableContents"/>
              <w:bidi w:val="0"/>
              <w:spacing w:before="0" w:after="283"/>
              <w:jc w:val="left"/>
              <w:rPr/>
            </w:pPr>
            <w:r>
              <w:rPr/>
              <w:t>Reports.</w:t>
            </w:r>
          </w:p>
        </w:tc>
        <w:tc>
          <w:tcPr>
            <w:tcW w:w="334" w:type="dxa"/>
            <w:tcBorders/>
            <w:vAlign w:val="center"/>
          </w:tcPr>
          <w:p>
            <w:pPr>
              <w:pStyle w:val="TableContents"/>
              <w:bidi w:val="0"/>
              <w:spacing w:before="0" w:after="283"/>
              <w:jc w:val="right"/>
              <w:rPr/>
            </w:pPr>
            <w:r>
              <w:rPr/>
              <w:t>34</w:t>
            </w:r>
          </w:p>
        </w:tc>
      </w:tr>
      <w:tr>
        <w:trPr/>
        <w:tc>
          <w:tcPr>
            <w:tcW w:w="1482" w:type="dxa"/>
            <w:tcBorders/>
            <w:vAlign w:val="center"/>
          </w:tcPr>
          <w:p>
            <w:pPr>
              <w:pStyle w:val="TableContents"/>
              <w:bidi w:val="0"/>
              <w:spacing w:before="0" w:after="283"/>
              <w:jc w:val="left"/>
              <w:rPr/>
            </w:pPr>
            <w:r>
              <w:rPr/>
              <w:t>Section 4.04</w:t>
            </w:r>
          </w:p>
        </w:tc>
        <w:tc>
          <w:tcPr>
            <w:tcW w:w="4398" w:type="dxa"/>
            <w:tcBorders/>
            <w:vAlign w:val="center"/>
          </w:tcPr>
          <w:p>
            <w:pPr>
              <w:pStyle w:val="TableContents"/>
              <w:bidi w:val="0"/>
              <w:spacing w:before="0" w:after="283"/>
              <w:jc w:val="left"/>
              <w:rPr/>
            </w:pPr>
            <w:r>
              <w:rPr/>
              <w:t>Special Interest Notice</w:t>
            </w:r>
          </w:p>
        </w:tc>
        <w:tc>
          <w:tcPr>
            <w:tcW w:w="334" w:type="dxa"/>
            <w:tcBorders/>
            <w:vAlign w:val="center"/>
          </w:tcPr>
          <w:p>
            <w:pPr>
              <w:pStyle w:val="TableContents"/>
              <w:bidi w:val="0"/>
              <w:spacing w:before="0" w:after="283"/>
              <w:jc w:val="right"/>
              <w:rPr/>
            </w:pPr>
            <w:r>
              <w:rPr/>
              <w:t>35</w:t>
            </w:r>
          </w:p>
        </w:tc>
      </w:tr>
      <w:tr>
        <w:trPr/>
        <w:tc>
          <w:tcPr>
            <w:tcW w:w="5880" w:type="dxa"/>
            <w:gridSpan w:val="2"/>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right"/>
              <w:rPr/>
            </w:pPr>
            <w:r>
              <w:rPr/>
              <w:t> </w:t>
            </w:r>
          </w:p>
        </w:tc>
      </w:tr>
      <w:tr>
        <w:trPr/>
        <w:tc>
          <w:tcPr>
            <w:tcW w:w="6214" w:type="dxa"/>
            <w:gridSpan w:val="3"/>
            <w:tcBorders/>
            <w:vAlign w:val="center"/>
          </w:tcPr>
          <w:p>
            <w:pPr>
              <w:pStyle w:val="TableContents"/>
              <w:bidi w:val="0"/>
              <w:spacing w:before="0" w:after="283"/>
              <w:jc w:val="center"/>
              <w:rPr/>
            </w:pPr>
            <w:r>
              <w:rPr/>
              <w:t>Article 5</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SUCCESSORS</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Article 6</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DEFAULTS AND REMEDIES</w:t>
            </w:r>
          </w:p>
        </w:tc>
      </w:tr>
      <w:tr>
        <w:trPr/>
        <w:tc>
          <w:tcPr>
            <w:tcW w:w="6214" w:type="dxa"/>
            <w:gridSpan w:val="3"/>
            <w:tcBorders/>
            <w:vAlign w:val="center"/>
          </w:tcPr>
          <w:p>
            <w:pPr>
              <w:pStyle w:val="TableContents"/>
              <w:bidi w:val="0"/>
              <w:spacing w:before="0" w:after="283"/>
              <w:jc w:val="center"/>
              <w:rPr/>
            </w:pPr>
            <w:r>
              <w:rPr/>
              <w:t> </w:t>
            </w:r>
          </w:p>
        </w:tc>
      </w:tr>
      <w:tr>
        <w:trPr/>
        <w:tc>
          <w:tcPr>
            <w:tcW w:w="1482" w:type="dxa"/>
            <w:tcBorders/>
            <w:vAlign w:val="center"/>
          </w:tcPr>
          <w:p>
            <w:pPr>
              <w:pStyle w:val="TableContents"/>
              <w:bidi w:val="0"/>
              <w:spacing w:before="0" w:after="283"/>
              <w:jc w:val="left"/>
              <w:rPr/>
            </w:pPr>
            <w:r>
              <w:rPr/>
              <w:t>Section 6.01</w:t>
            </w:r>
          </w:p>
        </w:tc>
        <w:tc>
          <w:tcPr>
            <w:tcW w:w="4398" w:type="dxa"/>
            <w:tcBorders/>
            <w:vAlign w:val="center"/>
          </w:tcPr>
          <w:p>
            <w:pPr>
              <w:pStyle w:val="TableContents"/>
              <w:bidi w:val="0"/>
              <w:spacing w:before="0" w:after="283"/>
              <w:jc w:val="left"/>
              <w:rPr/>
            </w:pPr>
            <w:r>
              <w:rPr/>
              <w:t>Events of Default.</w:t>
            </w:r>
          </w:p>
        </w:tc>
        <w:tc>
          <w:tcPr>
            <w:tcW w:w="334" w:type="dxa"/>
            <w:tcBorders/>
            <w:vAlign w:val="center"/>
          </w:tcPr>
          <w:p>
            <w:pPr>
              <w:pStyle w:val="TableContents"/>
              <w:bidi w:val="0"/>
              <w:spacing w:before="0" w:after="283"/>
              <w:jc w:val="right"/>
              <w:rPr/>
            </w:pPr>
            <w:r>
              <w:rPr/>
              <w:t>35</w:t>
            </w:r>
          </w:p>
        </w:tc>
      </w:tr>
      <w:tr>
        <w:trPr/>
        <w:tc>
          <w:tcPr>
            <w:tcW w:w="1482" w:type="dxa"/>
            <w:tcBorders/>
            <w:vAlign w:val="center"/>
          </w:tcPr>
          <w:p>
            <w:pPr>
              <w:pStyle w:val="TableContents"/>
              <w:bidi w:val="0"/>
              <w:spacing w:before="0" w:after="283"/>
              <w:jc w:val="left"/>
              <w:rPr/>
            </w:pPr>
            <w:r>
              <w:rPr/>
              <w:t>Section 6.02</w:t>
            </w:r>
          </w:p>
        </w:tc>
        <w:tc>
          <w:tcPr>
            <w:tcW w:w="4398" w:type="dxa"/>
            <w:tcBorders/>
            <w:vAlign w:val="center"/>
          </w:tcPr>
          <w:p>
            <w:pPr>
              <w:pStyle w:val="TableContents"/>
              <w:bidi w:val="0"/>
              <w:spacing w:before="0" w:after="283"/>
              <w:jc w:val="left"/>
              <w:rPr/>
            </w:pPr>
            <w:r>
              <w:rPr/>
              <w:t>Acceleration.</w:t>
            </w:r>
          </w:p>
        </w:tc>
        <w:tc>
          <w:tcPr>
            <w:tcW w:w="334" w:type="dxa"/>
            <w:tcBorders/>
            <w:vAlign w:val="center"/>
          </w:tcPr>
          <w:p>
            <w:pPr>
              <w:pStyle w:val="TableContents"/>
              <w:bidi w:val="0"/>
              <w:spacing w:before="0" w:after="283"/>
              <w:jc w:val="right"/>
              <w:rPr/>
            </w:pPr>
            <w:r>
              <w:rPr/>
              <w:t>37</w:t>
            </w:r>
          </w:p>
        </w:tc>
      </w:tr>
      <w:tr>
        <w:trPr/>
        <w:tc>
          <w:tcPr>
            <w:tcW w:w="1482" w:type="dxa"/>
            <w:tcBorders/>
            <w:vAlign w:val="center"/>
          </w:tcPr>
          <w:p>
            <w:pPr>
              <w:pStyle w:val="TableContents"/>
              <w:bidi w:val="0"/>
              <w:spacing w:before="0" w:after="283"/>
              <w:jc w:val="left"/>
              <w:rPr/>
            </w:pPr>
            <w:r>
              <w:rPr/>
              <w:t> </w:t>
            </w:r>
          </w:p>
        </w:tc>
        <w:tc>
          <w:tcPr>
            <w:tcW w:w="4398"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right"/>
              <w:rPr/>
            </w:pPr>
            <w:r>
              <w:rPr/>
              <w:t> </w:t>
            </w:r>
          </w:p>
        </w:tc>
      </w:tr>
      <w:tr>
        <w:trPr/>
        <w:tc>
          <w:tcPr>
            <w:tcW w:w="6214" w:type="dxa"/>
            <w:gridSpan w:val="3"/>
            <w:tcBorders/>
            <w:vAlign w:val="center"/>
          </w:tcPr>
          <w:p>
            <w:pPr>
              <w:pStyle w:val="TableContents"/>
              <w:bidi w:val="0"/>
              <w:spacing w:before="0" w:after="283"/>
              <w:jc w:val="center"/>
              <w:rPr/>
            </w:pPr>
            <w:r>
              <w:rPr/>
              <w:t>Article 7</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TRUSTEE</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Article 8</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LEGAL DEFEASANCE AND COVENANT DEFEASANCE</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Article 9</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AMENDMENT, SUPPLEMENT AND WAIVER</w:t>
            </w:r>
          </w:p>
        </w:tc>
      </w:tr>
      <w:tr>
        <w:trPr/>
        <w:tc>
          <w:tcPr>
            <w:tcW w:w="6214" w:type="dxa"/>
            <w:gridSpan w:val="3"/>
            <w:tcBorders/>
            <w:vAlign w:val="center"/>
          </w:tcPr>
          <w:p>
            <w:pPr>
              <w:pStyle w:val="TableContents"/>
              <w:bidi w:val="0"/>
              <w:spacing w:before="0" w:after="283"/>
              <w:jc w:val="center"/>
              <w:rPr/>
            </w:pPr>
            <w:r>
              <w:rPr/>
              <w:t> </w:t>
            </w:r>
          </w:p>
        </w:tc>
      </w:tr>
      <w:tr>
        <w:trPr/>
        <w:tc>
          <w:tcPr>
            <w:tcW w:w="1482" w:type="dxa"/>
            <w:tcBorders/>
            <w:vAlign w:val="center"/>
          </w:tcPr>
          <w:p>
            <w:pPr>
              <w:pStyle w:val="TableContents"/>
              <w:bidi w:val="0"/>
              <w:spacing w:before="0" w:after="283"/>
              <w:jc w:val="left"/>
              <w:rPr/>
            </w:pPr>
            <w:r>
              <w:rPr/>
              <w:t>Section 9.01</w:t>
            </w:r>
          </w:p>
        </w:tc>
        <w:tc>
          <w:tcPr>
            <w:tcW w:w="4398" w:type="dxa"/>
            <w:tcBorders/>
            <w:vAlign w:val="center"/>
          </w:tcPr>
          <w:p>
            <w:pPr>
              <w:pStyle w:val="TableContents"/>
              <w:bidi w:val="0"/>
              <w:spacing w:before="0" w:after="283"/>
              <w:jc w:val="left"/>
              <w:rPr/>
            </w:pPr>
            <w:r>
              <w:rPr/>
              <w:t>Without Consent of Holders of Notes.</w:t>
            </w:r>
          </w:p>
        </w:tc>
        <w:tc>
          <w:tcPr>
            <w:tcW w:w="334" w:type="dxa"/>
            <w:tcBorders/>
            <w:vAlign w:val="center"/>
          </w:tcPr>
          <w:p>
            <w:pPr>
              <w:pStyle w:val="TableContents"/>
              <w:bidi w:val="0"/>
              <w:spacing w:before="0" w:after="283"/>
              <w:jc w:val="right"/>
              <w:rPr/>
            </w:pPr>
            <w:r>
              <w:rPr/>
              <w:t>38</w:t>
            </w:r>
          </w:p>
        </w:tc>
      </w:tr>
      <w:tr>
        <w:trPr/>
        <w:tc>
          <w:tcPr>
            <w:tcW w:w="1482" w:type="dxa"/>
            <w:tcBorders/>
            <w:vAlign w:val="center"/>
          </w:tcPr>
          <w:p>
            <w:pPr>
              <w:pStyle w:val="TableContents"/>
              <w:bidi w:val="0"/>
              <w:spacing w:before="0" w:after="283"/>
              <w:jc w:val="left"/>
              <w:rPr/>
            </w:pPr>
            <w:r>
              <w:rPr/>
              <w:t> </w:t>
            </w:r>
          </w:p>
        </w:tc>
        <w:tc>
          <w:tcPr>
            <w:tcW w:w="4398"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right"/>
              <w:rPr/>
            </w:pPr>
            <w:r>
              <w:rPr/>
              <w:t> </w:t>
            </w:r>
          </w:p>
        </w:tc>
      </w:tr>
      <w:tr>
        <w:trPr/>
        <w:tc>
          <w:tcPr>
            <w:tcW w:w="6214" w:type="dxa"/>
            <w:gridSpan w:val="3"/>
            <w:tcBorders/>
            <w:vAlign w:val="center"/>
          </w:tcPr>
          <w:p>
            <w:pPr>
              <w:pStyle w:val="TableContents"/>
              <w:bidi w:val="0"/>
              <w:spacing w:before="0" w:after="283"/>
              <w:jc w:val="center"/>
              <w:rPr/>
            </w:pPr>
            <w:r>
              <w:rPr/>
              <w:t xml:space="preserve">Article 10 </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GUARANTEE</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 xml:space="preserve">Article 11 </w:t>
            </w:r>
          </w:p>
        </w:tc>
      </w:tr>
      <w:tr>
        <w:trPr/>
        <w:tc>
          <w:tcPr>
            <w:tcW w:w="6214" w:type="dxa"/>
            <w:gridSpan w:val="3"/>
            <w:tcBorders/>
            <w:vAlign w:val="center"/>
          </w:tcPr>
          <w:p>
            <w:pPr>
              <w:pStyle w:val="TableContents"/>
              <w:bidi w:val="0"/>
              <w:spacing w:before="0" w:after="283"/>
              <w:jc w:val="center"/>
              <w:rPr/>
            </w:pPr>
            <w:r>
              <w:rPr/>
              <w:t> </w:t>
            </w:r>
          </w:p>
        </w:tc>
      </w:tr>
      <w:tr>
        <w:trPr/>
        <w:tc>
          <w:tcPr>
            <w:tcW w:w="6214" w:type="dxa"/>
            <w:gridSpan w:val="3"/>
            <w:tcBorders/>
            <w:vAlign w:val="center"/>
          </w:tcPr>
          <w:p>
            <w:pPr>
              <w:pStyle w:val="TableContents"/>
              <w:bidi w:val="0"/>
              <w:spacing w:before="0" w:after="283"/>
              <w:jc w:val="center"/>
              <w:rPr/>
            </w:pPr>
            <w:r>
              <w:rPr/>
              <w:t>[Reserved.]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720" w:type="dxa"/>
        <w:jc w:val="left"/>
        <w:tblInd w:w="0" w:type="dxa"/>
        <w:tblLayout w:type="fixed"/>
        <w:tblCellMar>
          <w:top w:w="0" w:type="dxa"/>
          <w:left w:w="0" w:type="dxa"/>
          <w:bottom w:w="0" w:type="dxa"/>
          <w:right w:w="0" w:type="dxa"/>
        </w:tblCellMar>
      </w:tblPr>
      <w:tblGrid>
        <w:gridCol w:w="1340"/>
        <w:gridCol w:w="5105"/>
        <w:gridCol w:w="275"/>
      </w:tblGrid>
      <w:tr>
        <w:trPr/>
        <w:tc>
          <w:tcPr>
            <w:tcW w:w="6720" w:type="dxa"/>
            <w:gridSpan w:val="3"/>
            <w:tcBorders/>
            <w:vAlign w:val="center"/>
          </w:tcPr>
          <w:p>
            <w:pPr>
              <w:pStyle w:val="TableContents"/>
              <w:bidi w:val="0"/>
              <w:spacing w:before="0" w:after="283"/>
              <w:jc w:val="center"/>
              <w:rPr/>
            </w:pPr>
            <w:r>
              <w:rPr/>
              <w:t xml:space="preserve">Article 12 </w:t>
            </w:r>
          </w:p>
        </w:tc>
      </w:tr>
      <w:tr>
        <w:trPr/>
        <w:tc>
          <w:tcPr>
            <w:tcW w:w="6720" w:type="dxa"/>
            <w:gridSpan w:val="3"/>
            <w:tcBorders/>
            <w:vAlign w:val="center"/>
          </w:tcPr>
          <w:p>
            <w:pPr>
              <w:pStyle w:val="TableContents"/>
              <w:bidi w:val="0"/>
              <w:spacing w:before="0" w:after="283"/>
              <w:jc w:val="center"/>
              <w:rPr/>
            </w:pPr>
            <w:r>
              <w:rPr/>
              <w:t> </w:t>
            </w:r>
          </w:p>
        </w:tc>
      </w:tr>
      <w:tr>
        <w:trPr/>
        <w:tc>
          <w:tcPr>
            <w:tcW w:w="6720" w:type="dxa"/>
            <w:gridSpan w:val="3"/>
            <w:tcBorders/>
            <w:vAlign w:val="center"/>
          </w:tcPr>
          <w:p>
            <w:pPr>
              <w:pStyle w:val="TableContents"/>
              <w:bidi w:val="0"/>
              <w:spacing w:before="0" w:after="283"/>
              <w:jc w:val="center"/>
              <w:rPr/>
            </w:pPr>
            <w:r>
              <w:rPr/>
              <w:t>MISCELLANEOUS</w:t>
            </w:r>
          </w:p>
        </w:tc>
      </w:tr>
      <w:tr>
        <w:trPr/>
        <w:tc>
          <w:tcPr>
            <w:tcW w:w="6720" w:type="dxa"/>
            <w:gridSpan w:val="3"/>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Section 12.13</w:t>
            </w:r>
          </w:p>
        </w:tc>
        <w:tc>
          <w:tcPr>
            <w:tcW w:w="5105" w:type="dxa"/>
            <w:tcBorders/>
            <w:vAlign w:val="center"/>
          </w:tcPr>
          <w:p>
            <w:pPr>
              <w:pStyle w:val="TableContents"/>
              <w:bidi w:val="0"/>
              <w:spacing w:before="0" w:after="283"/>
              <w:jc w:val="left"/>
              <w:rPr/>
            </w:pPr>
            <w:r>
              <w:rPr/>
              <w:t>Table of Contents, Headings, etc.</w:t>
            </w:r>
          </w:p>
        </w:tc>
        <w:tc>
          <w:tcPr>
            <w:tcW w:w="275" w:type="dxa"/>
            <w:tcBorders/>
            <w:vAlign w:val="center"/>
          </w:tcPr>
          <w:p>
            <w:pPr>
              <w:pStyle w:val="TableContents"/>
              <w:bidi w:val="0"/>
              <w:spacing w:before="0" w:after="283"/>
              <w:jc w:val="right"/>
              <w:rPr/>
            </w:pPr>
            <w:r>
              <w:rPr/>
              <w:t>42</w:t>
            </w:r>
          </w:p>
        </w:tc>
      </w:tr>
      <w:tr>
        <w:trPr/>
        <w:tc>
          <w:tcPr>
            <w:tcW w:w="1340" w:type="dxa"/>
            <w:tcBorders/>
            <w:vAlign w:val="center"/>
          </w:tcPr>
          <w:p>
            <w:pPr>
              <w:pStyle w:val="TableContents"/>
              <w:bidi w:val="0"/>
              <w:spacing w:before="0" w:after="283"/>
              <w:jc w:val="left"/>
              <w:rPr/>
            </w:pPr>
            <w:r>
              <w:rPr/>
              <w:t>Section 12.16</w:t>
            </w:r>
          </w:p>
        </w:tc>
        <w:tc>
          <w:tcPr>
            <w:tcW w:w="5105" w:type="dxa"/>
            <w:tcBorders/>
            <w:vAlign w:val="center"/>
          </w:tcPr>
          <w:p>
            <w:pPr>
              <w:pStyle w:val="TableContents"/>
              <w:bidi w:val="0"/>
              <w:spacing w:before="0" w:after="283"/>
              <w:jc w:val="left"/>
              <w:rPr/>
            </w:pPr>
            <w:r>
              <w:rPr/>
              <w:t>Supplemental Indenture Controls.</w:t>
            </w:r>
          </w:p>
        </w:tc>
        <w:tc>
          <w:tcPr>
            <w:tcW w:w="275" w:type="dxa"/>
            <w:tcBorders/>
            <w:vAlign w:val="center"/>
          </w:tcPr>
          <w:p>
            <w:pPr>
              <w:pStyle w:val="TableContents"/>
              <w:bidi w:val="0"/>
              <w:spacing w:before="0" w:after="283"/>
              <w:jc w:val="right"/>
              <w:rPr/>
            </w:pPr>
            <w:r>
              <w:rPr/>
              <w:t>42</w:t>
            </w:r>
          </w:p>
        </w:tc>
      </w:tr>
      <w:tr>
        <w:trPr/>
        <w:tc>
          <w:tcPr>
            <w:tcW w:w="1340" w:type="dxa"/>
            <w:tcBorders/>
            <w:vAlign w:val="center"/>
          </w:tcPr>
          <w:p>
            <w:pPr>
              <w:pStyle w:val="TableContents"/>
              <w:bidi w:val="0"/>
              <w:spacing w:before="0" w:after="283"/>
              <w:jc w:val="left"/>
              <w:rPr/>
            </w:pPr>
            <w:r>
              <w:rPr/>
              <w:t>Section 12.17</w:t>
            </w:r>
          </w:p>
        </w:tc>
        <w:tc>
          <w:tcPr>
            <w:tcW w:w="5105" w:type="dxa"/>
            <w:tcBorders/>
            <w:vAlign w:val="center"/>
          </w:tcPr>
          <w:p>
            <w:pPr>
              <w:pStyle w:val="TableContents"/>
              <w:bidi w:val="0"/>
              <w:spacing w:before="0" w:after="283"/>
              <w:jc w:val="left"/>
              <w:rPr/>
            </w:pPr>
            <w:r>
              <w:rPr/>
              <w:t>Submission to Jurisdiction.</w:t>
            </w:r>
          </w:p>
        </w:tc>
        <w:tc>
          <w:tcPr>
            <w:tcW w:w="275" w:type="dxa"/>
            <w:tcBorders/>
            <w:vAlign w:val="center"/>
          </w:tcPr>
          <w:p>
            <w:pPr>
              <w:pStyle w:val="TableContents"/>
              <w:bidi w:val="0"/>
              <w:spacing w:before="0" w:after="283"/>
              <w:jc w:val="right"/>
              <w:rPr/>
            </w:pPr>
            <w:r>
              <w:rPr/>
              <w:t>42</w:t>
            </w:r>
          </w:p>
        </w:tc>
      </w:tr>
      <w:tr>
        <w:trPr/>
        <w:tc>
          <w:tcPr>
            <w:tcW w:w="134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720" w:type="dxa"/>
            <w:gridSpan w:val="3"/>
            <w:tcBorders/>
            <w:vAlign w:val="center"/>
          </w:tcPr>
          <w:p>
            <w:pPr>
              <w:pStyle w:val="TableContents"/>
              <w:bidi w:val="0"/>
              <w:spacing w:before="0" w:after="283"/>
              <w:jc w:val="center"/>
              <w:rPr/>
            </w:pPr>
            <w:r>
              <w:rPr/>
              <w:t xml:space="preserve">Article 13 </w:t>
            </w:r>
          </w:p>
        </w:tc>
      </w:tr>
      <w:tr>
        <w:trPr/>
        <w:tc>
          <w:tcPr>
            <w:tcW w:w="6720" w:type="dxa"/>
            <w:gridSpan w:val="3"/>
            <w:tcBorders/>
            <w:vAlign w:val="center"/>
          </w:tcPr>
          <w:p>
            <w:pPr>
              <w:pStyle w:val="TableContents"/>
              <w:bidi w:val="0"/>
              <w:spacing w:before="0" w:after="283"/>
              <w:jc w:val="center"/>
              <w:rPr/>
            </w:pPr>
            <w:r>
              <w:rPr/>
              <w:t> </w:t>
            </w:r>
          </w:p>
        </w:tc>
      </w:tr>
      <w:tr>
        <w:trPr/>
        <w:tc>
          <w:tcPr>
            <w:tcW w:w="6720" w:type="dxa"/>
            <w:gridSpan w:val="3"/>
            <w:tcBorders/>
            <w:vAlign w:val="center"/>
          </w:tcPr>
          <w:p>
            <w:pPr>
              <w:pStyle w:val="TableContents"/>
              <w:bidi w:val="0"/>
              <w:spacing w:before="0" w:after="283"/>
              <w:jc w:val="center"/>
              <w:rPr/>
            </w:pPr>
            <w:r>
              <w:rPr/>
              <w:t>SATISFACTION AND DISCHARGE</w:t>
            </w:r>
          </w:p>
        </w:tc>
      </w:tr>
      <w:tr>
        <w:trPr/>
        <w:tc>
          <w:tcPr>
            <w:tcW w:w="6720" w:type="dxa"/>
            <w:gridSpan w:val="3"/>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Section 13.03</w:t>
            </w:r>
          </w:p>
        </w:tc>
        <w:tc>
          <w:tcPr>
            <w:tcW w:w="5105" w:type="dxa"/>
            <w:tcBorders/>
            <w:vAlign w:val="center"/>
          </w:tcPr>
          <w:p>
            <w:pPr>
              <w:pStyle w:val="TableContents"/>
              <w:bidi w:val="0"/>
              <w:spacing w:before="0" w:after="283"/>
              <w:jc w:val="left"/>
              <w:rPr/>
            </w:pPr>
            <w:r>
              <w:rPr/>
              <w:t>Satisfaction and Discharge of Supplemental Indenture</w:t>
            </w:r>
          </w:p>
        </w:tc>
        <w:tc>
          <w:tcPr>
            <w:tcW w:w="275" w:type="dxa"/>
            <w:tcBorders/>
            <w:vAlign w:val="center"/>
          </w:tcPr>
          <w:p>
            <w:pPr>
              <w:pStyle w:val="TableContents"/>
              <w:bidi w:val="0"/>
              <w:spacing w:before="0" w:after="283"/>
              <w:jc w:val="right"/>
              <w:rPr/>
            </w:pPr>
            <w:r>
              <w:rPr/>
              <w:t>43</w:t>
            </w:r>
          </w:p>
        </w:tc>
      </w:tr>
      <w:tr>
        <w:trPr/>
        <w:tc>
          <w:tcPr>
            <w:tcW w:w="1340" w:type="dxa"/>
            <w:tcBorders/>
            <w:vAlign w:val="center"/>
          </w:tcPr>
          <w:p>
            <w:pPr>
              <w:pStyle w:val="TableContents"/>
              <w:bidi w:val="0"/>
              <w:spacing w:before="0" w:after="283"/>
              <w:jc w:val="left"/>
              <w:rPr/>
            </w:pPr>
            <w:r>
              <w:rPr/>
              <w:t>Section 13.04</w:t>
            </w:r>
          </w:p>
        </w:tc>
        <w:tc>
          <w:tcPr>
            <w:tcW w:w="5105" w:type="dxa"/>
            <w:tcBorders/>
            <w:vAlign w:val="center"/>
          </w:tcPr>
          <w:p>
            <w:pPr>
              <w:pStyle w:val="TableContents"/>
              <w:bidi w:val="0"/>
              <w:spacing w:before="0" w:after="283"/>
              <w:jc w:val="left"/>
              <w:rPr/>
            </w:pPr>
            <w:r>
              <w:rPr/>
              <w:t>Application of Trust Money.</w:t>
            </w:r>
          </w:p>
        </w:tc>
        <w:tc>
          <w:tcPr>
            <w:tcW w:w="275" w:type="dxa"/>
            <w:tcBorders/>
            <w:vAlign w:val="center"/>
          </w:tcPr>
          <w:p>
            <w:pPr>
              <w:pStyle w:val="TableContents"/>
              <w:bidi w:val="0"/>
              <w:spacing w:before="0" w:after="283"/>
              <w:jc w:val="right"/>
              <w:rPr/>
            </w:pPr>
            <w:r>
              <w:rPr/>
              <w:t>44</w:t>
            </w:r>
          </w:p>
        </w:tc>
      </w:tr>
      <w:tr>
        <w:trPr/>
        <w:tc>
          <w:tcPr>
            <w:tcW w:w="134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720" w:type="dxa"/>
            <w:gridSpan w:val="3"/>
            <w:tcBorders/>
            <w:vAlign w:val="center"/>
          </w:tcPr>
          <w:p>
            <w:pPr>
              <w:pStyle w:val="TableContents"/>
              <w:bidi w:val="0"/>
              <w:spacing w:before="0" w:after="283"/>
              <w:jc w:val="center"/>
              <w:rPr/>
            </w:pPr>
            <w:r>
              <w:rPr/>
              <w:t xml:space="preserve">Article 14 </w:t>
            </w:r>
          </w:p>
        </w:tc>
      </w:tr>
      <w:tr>
        <w:trPr/>
        <w:tc>
          <w:tcPr>
            <w:tcW w:w="6720" w:type="dxa"/>
            <w:gridSpan w:val="3"/>
            <w:tcBorders/>
            <w:vAlign w:val="center"/>
          </w:tcPr>
          <w:p>
            <w:pPr>
              <w:pStyle w:val="TableContents"/>
              <w:bidi w:val="0"/>
              <w:spacing w:before="0" w:after="283"/>
              <w:jc w:val="center"/>
              <w:rPr/>
            </w:pPr>
            <w:r>
              <w:rPr/>
              <w:t> </w:t>
            </w:r>
          </w:p>
        </w:tc>
      </w:tr>
      <w:tr>
        <w:trPr/>
        <w:tc>
          <w:tcPr>
            <w:tcW w:w="6720" w:type="dxa"/>
            <w:gridSpan w:val="3"/>
            <w:tcBorders/>
            <w:vAlign w:val="center"/>
          </w:tcPr>
          <w:p>
            <w:pPr>
              <w:pStyle w:val="TableContents"/>
              <w:bidi w:val="0"/>
              <w:spacing w:before="0" w:after="283"/>
              <w:jc w:val="center"/>
              <w:rPr/>
            </w:pPr>
            <w:r>
              <w:rPr/>
              <w:t>COLLATERAL</w:t>
            </w:r>
          </w:p>
        </w:tc>
      </w:tr>
      <w:tr>
        <w:trPr/>
        <w:tc>
          <w:tcPr>
            <w:tcW w:w="6720" w:type="dxa"/>
            <w:gridSpan w:val="3"/>
            <w:tcBorders/>
            <w:vAlign w:val="center"/>
          </w:tcPr>
          <w:p>
            <w:pPr>
              <w:pStyle w:val="TableContents"/>
              <w:bidi w:val="0"/>
              <w:spacing w:before="0" w:after="283"/>
              <w:jc w:val="center"/>
              <w:rPr/>
            </w:pPr>
            <w:r>
              <w:rPr/>
              <w:t> </w:t>
            </w:r>
          </w:p>
        </w:tc>
      </w:tr>
      <w:tr>
        <w:trPr/>
        <w:tc>
          <w:tcPr>
            <w:tcW w:w="6720" w:type="dxa"/>
            <w:gridSpan w:val="3"/>
            <w:tcBorders/>
            <w:vAlign w:val="center"/>
          </w:tcPr>
          <w:p>
            <w:pPr>
              <w:pStyle w:val="TableContents"/>
              <w:bidi w:val="0"/>
              <w:spacing w:before="0" w:after="283"/>
              <w:jc w:val="center"/>
              <w:rPr/>
            </w:pPr>
            <w:r>
              <w:rPr/>
              <w:t>SECTION 2</w:t>
            </w:r>
          </w:p>
        </w:tc>
      </w:tr>
      <w:tr>
        <w:trPr/>
        <w:tc>
          <w:tcPr>
            <w:tcW w:w="6720" w:type="dxa"/>
            <w:gridSpan w:val="3"/>
            <w:tcBorders/>
            <w:vAlign w:val="center"/>
          </w:tcPr>
          <w:p>
            <w:pPr>
              <w:pStyle w:val="TableContents"/>
              <w:bidi w:val="0"/>
              <w:spacing w:before="0" w:after="283"/>
              <w:jc w:val="center"/>
              <w:rPr/>
            </w:pPr>
            <w:r>
              <w:rPr/>
              <w:t> </w:t>
            </w:r>
          </w:p>
        </w:tc>
      </w:tr>
      <w:tr>
        <w:trPr/>
        <w:tc>
          <w:tcPr>
            <w:tcW w:w="6720" w:type="dxa"/>
            <w:gridSpan w:val="3"/>
            <w:tcBorders/>
            <w:vAlign w:val="center"/>
          </w:tcPr>
          <w:p>
            <w:pPr>
              <w:pStyle w:val="TableContents"/>
              <w:bidi w:val="0"/>
              <w:spacing w:before="0" w:after="283"/>
              <w:jc w:val="center"/>
              <w:rPr/>
            </w:pPr>
            <w:r>
              <w:rPr/>
              <w:t>GRANT OF SECURITY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TWENTY-SEVENTH SUPPLEMENTAL INDENTURE dated as of August 12,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Charter Communications Operating, LLC, a Delaware limited liability company (and any successor Person thereto, “</w:t>
      </w:r>
      <w:r>
        <w:rPr>
          <w:rFonts w:ascii="Times New Roman;Times;Serif" w:hAnsi="Times New Roman;Times;Serif"/>
          <w:b w:val="false"/>
          <w:i/>
          <w:caps w:val="false"/>
          <w:smallCaps w:val="false"/>
          <w:sz w:val="20"/>
        </w:rPr>
        <w:t>CCO</w:t>
      </w:r>
      <w:r>
        <w:rPr>
          <w:rFonts w:ascii="Times New Roman;Times;Serif" w:hAnsi="Times New Roman;Times;Serif"/>
          <w:b w:val="false"/>
          <w:i w:val="false"/>
          <w:caps w:val="false"/>
          <w:smallCaps w:val="false"/>
          <w:sz w:val="20"/>
        </w:rPr>
        <w:t>”), Charter Communications Operating Capital Corp., a Delaware corporation (“</w:t>
      </w:r>
      <w:r>
        <w:rPr>
          <w:rFonts w:ascii="Times New Roman;Times;Serif" w:hAnsi="Times New Roman;Times;Serif"/>
          <w:b w:val="false"/>
          <w:i/>
          <w:caps w:val="false"/>
          <w:smallCaps w:val="false"/>
          <w:sz w:val="20"/>
        </w:rPr>
        <w:t>Capital Corp</w:t>
      </w:r>
      <w:r>
        <w:rPr>
          <w:rFonts w:ascii="Times New Roman;Times;Serif" w:hAnsi="Times New Roman;Times;Serif"/>
          <w:b w:val="false"/>
          <w:i w:val="false"/>
          <w:caps w:val="false"/>
          <w:smallCaps w:val="false"/>
          <w:sz w:val="20"/>
        </w:rPr>
        <w:t>” and, together with CCO, the “</w:t>
      </w:r>
      <w:r>
        <w:rPr>
          <w:rFonts w:ascii="Times New Roman;Times;Serif" w:hAnsi="Times New Roman;Times;Serif"/>
          <w:b w:val="false"/>
          <w:i/>
          <w:caps w:val="false"/>
          <w:smallCaps w:val="false"/>
          <w:sz w:val="20"/>
        </w:rPr>
        <w:t>Issuers</w:t>
      </w:r>
      <w:r>
        <w:rPr>
          <w:rFonts w:ascii="Times New Roman;Times;Serif" w:hAnsi="Times New Roman;Times;Serif"/>
          <w:b w:val="false"/>
          <w:i w:val="false"/>
          <w:caps w:val="false"/>
          <w:smallCaps w:val="false"/>
          <w:sz w:val="20"/>
        </w:rPr>
        <w:t>”), CCO Holdings, LLC, a Delaware limited liability company (“</w:t>
      </w:r>
      <w:r>
        <w:rPr>
          <w:rFonts w:ascii="Times New Roman;Times;Serif" w:hAnsi="Times New Roman;Times;Serif"/>
          <w:b w:val="false"/>
          <w:i/>
          <w:caps w:val="false"/>
          <w:smallCaps w:val="false"/>
          <w:sz w:val="20"/>
        </w:rPr>
        <w:t>CCO Holdings</w:t>
      </w:r>
      <w:r>
        <w:rPr>
          <w:rFonts w:ascii="Times New Roman;Times;Serif" w:hAnsi="Times New Roman;Times;Serif"/>
          <w:b w:val="false"/>
          <w:i w:val="false"/>
          <w:caps w:val="false"/>
          <w:smallCaps w:val="false"/>
          <w:sz w:val="20"/>
        </w:rPr>
        <w:t>”), the subsidiary guarantors party hereto (together with CCO Holdings, the “</w:t>
      </w:r>
      <w:r>
        <w:rPr>
          <w:rFonts w:ascii="Times New Roman;Times;Serif" w:hAnsi="Times New Roman;Times;Serif"/>
          <w:b w:val="false"/>
          <w:i/>
          <w:caps w:val="false"/>
          <w:smallCaps w:val="false"/>
          <w:sz w:val="20"/>
        </w:rPr>
        <w:t>Note Guarantors</w:t>
      </w:r>
      <w:r>
        <w:rPr>
          <w:rFonts w:ascii="Times New Roman;Times;Serif" w:hAnsi="Times New Roman;Times;Serif"/>
          <w:b w:val="false"/>
          <w:i w:val="false"/>
          <w:caps w:val="false"/>
          <w:smallCaps w:val="false"/>
          <w:sz w:val="20"/>
        </w:rPr>
        <w:t>”) and The Bank of New York Mellon Trust Company, N.A., as trustee (together with its successors in such capacity,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and as collateral agent (together with its successors in such capacity, the “</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CCO Safari II, LLC, a Delaware limited liability company, the Trustee and the Collateral Agent have previously executed and delivered an Indenture, dated as of July 23, 2015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providing for the issuance from time to time of one or more series of senior secured debt securities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Base Indenture provides that the Issuers, the Note Guarantors and the Trustee may enter into a supplemental indenture to the Base Indenture to, among other things, establish the form or terms of any series of Notes (as defined in the Base Indenture) as permitted by Section 2.01 hereof and Section 9.01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clause (13) of Section 9.01 of the Base Indenture provides that the Issuers, the Note Guarantors, the Trustee and the Collateral Agent may enter into a supplemental indenture changing or eliminating any provision of the Base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such change shall become effective only when there are no outstanding Notes (as defined in the Base Indenture) of such series created prior to the execution of such supplemental indenture which is entitled to the benefit of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Issuers and the Note Guarantors are entering into this Supplemental Indenture to, among other things, establish the form and terms of (i) the Issuers’ new series of 7.087% senior secured notes due 2038 (the “</w:t>
      </w:r>
      <w:r>
        <w:rPr>
          <w:rFonts w:ascii="Times New Roman;Times;Serif" w:hAnsi="Times New Roman;Times;Serif"/>
          <w:b w:val="false"/>
          <w:i/>
          <w:caps w:val="false"/>
          <w:smallCaps w:val="false"/>
          <w:sz w:val="20"/>
        </w:rPr>
        <w:t>2038 Notes</w:t>
      </w:r>
      <w:r>
        <w:rPr>
          <w:rFonts w:ascii="Times New Roman;Times;Serif" w:hAnsi="Times New Roman;Times;Serif"/>
          <w:b w:val="false"/>
          <w:i w:val="false"/>
          <w:caps w:val="false"/>
          <w:smallCaps w:val="false"/>
          <w:sz w:val="20"/>
        </w:rPr>
        <w:t>”) and (ii) the Issuers’ new series of 7.337% senior secured notes due 2041 (the “</w:t>
      </w:r>
      <w:r>
        <w:rPr>
          <w:rFonts w:ascii="Times New Roman;Times;Serif" w:hAnsi="Times New Roman;Times;Serif"/>
          <w:b w:val="false"/>
          <w:i/>
          <w:caps w:val="false"/>
          <w:smallCaps w:val="false"/>
          <w:sz w:val="20"/>
        </w:rPr>
        <w:t>2041 Notes</w:t>
      </w:r>
      <w:r>
        <w:rPr>
          <w:rFonts w:ascii="Times New Roman;Times;Serif" w:hAnsi="Times New Roman;Times;Serif"/>
          <w:b w:val="false"/>
          <w:i w:val="false"/>
          <w:caps w:val="false"/>
          <w:smallCaps w:val="false"/>
          <w:sz w:val="20"/>
        </w:rPr>
        <w:t>” and together with the 2038 Notes,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pursuant to the Base Indenture, as modified by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necessary to authorize the execution and delivery of this Supplemental Indenture and to make it a valid and binding obligation of the Issuers and the Note Guarantors have been satisfied or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and obligations set forth herein and for other good and valuable consideration, the sufficiency of which is hereby acknowledged, the Issuers, the Note Guarantors, the Trustee and the Collateral Agent, for the benefit of each other and for the equal and ratable benefit of the Holders, hereby enter into this Supplemental Indenture to, among other things, establish the terms of the Notes pursuant to Section 2.01 of the Base Indenture and there is hereby established the Issuers’ “7.087% Senior Secured Notes due 2038 and the Issuers’ 7.337% Senior Secured Notes due 2041,” in each case, as a separate series of Notes (as defined in the Base Indenture) and such parties further agree that this Supplemental Indenture affects the Issuers’ 7.087% Senior Secured Notes due 2038 and 7.337% Senior Secured Notes due 2041 only and not any other series of Notes (as defined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1</w:t>
      </w:r>
      <w:r>
        <w:rPr>
          <w:rFonts w:ascii="Times New Roman;Times;Serif" w:hAnsi="Times New Roman;Times;Serif"/>
          <w:b/>
          <w:i w:val="false"/>
          <w:caps w:val="false"/>
          <w:smallCaps w:val="false"/>
          <w:sz w:val="20"/>
        </w:rPr>
        <w:br/>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1.01 (except as herein otherwise expressly provided or unless the context of this Supplemental Indenture otherwise requires) for all purposes of this Supplemental Indenture and of any indenture supplemental hereto that governs the Notes have the respective meanings specified in this Section 1.01. All other terms used in this Supplemental Indenture that are defined in the Base Indenture or the TIA, either directly or by reference therein (except as herein otherwise expressly provided or unless the context of this Supplemental Indenture otherwise requires), have the respective meanings assigned to such terms in the Base Indenture or the TIA, as the case may be, as in force at the date of this Supplemental Indenture as originally executed. For the avoidance of doubt, the term “Indebtedness for Borrowed Money” as used herein shall not include any obligations under any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Accounting Change</w:t>
      </w:r>
      <w:r>
        <w:rPr>
          <w:rFonts w:ascii="Times New Roman;Times;Serif" w:hAnsi="Times New Roman;Times;Serif"/>
          <w:b w:val="false"/>
          <w:i w:val="false"/>
          <w:caps w:val="false"/>
          <w:smallCaps w:val="false"/>
          <w:sz w:val="20"/>
        </w:rPr>
        <w:t>” has the meaning assigned to such term in the definition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means Notes issued pursuant to the terms of this Supplemental Indenture in addition to Initial Notes (other than any Notes issued in respect of Initial Notes pursuant to Sections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issued pursuant to this Supplemental Indenture shall, for the avoidance of doubt, constitute “Additional Notes” as defined in the Indenture for the purposes of the Collateral Agreement, dated May 18, 2016, by and among CCO, Capital Corp, the Collateral Agent and the other grantors party thereto from time to time, as the same may be amended, restated, supplemented, replaced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Capital Corp</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CCO</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CCO Holdings</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CoBank</w:t>
      </w:r>
      <w:r>
        <w:rPr>
          <w:rFonts w:ascii="Times New Roman;Times;Serif" w:hAnsi="Times New Roman;Times;Serif"/>
          <w:b w:val="false"/>
          <w:i w:val="false"/>
          <w:caps w:val="false"/>
          <w:smallCaps w:val="false"/>
          <w:sz w:val="20"/>
        </w:rPr>
        <w:t>” means CoBank, ACB, a federally chartered instrumentality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CoBank Equities</w:t>
      </w:r>
      <w:r>
        <w:rPr>
          <w:rFonts w:ascii="Times New Roman;Times;Serif" w:hAnsi="Times New Roman;Times;Serif"/>
          <w:b w:val="false"/>
          <w:i w:val="false"/>
          <w:caps w:val="false"/>
          <w:smallCaps w:val="false"/>
          <w:sz w:val="20"/>
        </w:rPr>
        <w:t>” means any of CCO’s stock, patronage refunds issued in the form of stock or otherwise constituting allocated units, patronage surplus (including any such surplus accrued by CoBank for the account of CCO) and other equities in CoBank acquired in connection with, or because of the existence of, CCO’s patronage loan from CoBank (or its affiliate), and the proceeds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Collateral Agent</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Dealer Managers</w:t>
      </w:r>
      <w:r>
        <w:rPr>
          <w:rFonts w:ascii="Times New Roman;Times;Serif" w:hAnsi="Times New Roman;Times;Serif"/>
          <w:b w:val="false"/>
          <w:i w:val="false"/>
          <w:caps w:val="false"/>
          <w:smallCaps w:val="false"/>
          <w:sz w:val="20"/>
        </w:rPr>
        <w:t>” means Barclays Capital Inc., Citigroup Global Markets Inc., Morgan Stanley &amp; Co. LLC, BofA Securities, Inc., Deutsche Bank Securities Inc., Goldman Sachs &amp; Co. LLC, J.P. Morgan Securities LLC and 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2.06,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as applicable, hereto except that such Note shall not bear the Global Note Legend and shall not have the “Schedule of Exchanges of Interests in the Global Note”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Depositary</w:t>
      </w:r>
      <w:r>
        <w:rPr>
          <w:rFonts w:ascii="Times New Roman;Times;Serif" w:hAnsi="Times New Roman;Times;Serif"/>
          <w:b w:val="false"/>
          <w:i w:val="false"/>
          <w:caps w:val="false"/>
          <w:smallCaps w:val="false"/>
          <w:sz w:val="20"/>
        </w:rPr>
        <w:t>” means, with respect to the Global Notes, the Person specified in Section 2.03 as the Depositary with respect to the Notes, and any and all successors thereto appointed as depositary hereunder and having become such pursuant to the applicable provision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Issuers (the “</w:t>
      </w:r>
      <w:r>
        <w:rPr>
          <w:rFonts w:ascii="Times New Roman;Times;Serif" w:hAnsi="Times New Roman;Times;Serif"/>
          <w:b w:val="false"/>
          <w:i/>
          <w:caps w:val="false"/>
          <w:smallCaps w:val="false"/>
          <w:sz w:val="20"/>
        </w:rPr>
        <w:t>Performance References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Electronic Means</w:t>
      </w:r>
      <w:r>
        <w:rPr>
          <w:rFonts w:ascii="Times New Roman;Times;Serif" w:hAnsi="Times New Roman;Times;Serif"/>
          <w:b w:val="false"/>
          <w:i w:val="false"/>
          <w:caps w:val="false"/>
          <w:smallCaps w:val="false"/>
          <w:sz w:val="20"/>
        </w:rPr>
        <w:t>”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Euroclear</w:t>
      </w:r>
      <w:r>
        <w:rPr>
          <w:rFonts w:ascii="Times New Roman;Times;Serif" w:hAnsi="Times New Roman;Times;Serif"/>
          <w:b w:val="false"/>
          <w:i w:val="false"/>
          <w:caps w:val="false"/>
          <w:smallCaps w:val="false"/>
          <w:sz w:val="20"/>
        </w:rPr>
        <w:t>” means Euroclear Bank S.A./N.V.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Exchange Agent</w:t>
      </w:r>
      <w:r>
        <w:rPr>
          <w:rFonts w:ascii="Times New Roman;Times;Serif" w:hAnsi="Times New Roman;Times;Serif"/>
          <w:b w:val="false"/>
          <w:i w:val="false"/>
          <w:caps w:val="false"/>
          <w:smallCaps w:val="false"/>
          <w:sz w:val="20"/>
        </w:rPr>
        <w:t>” shall mean D.F. King &amp;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in effect on July 23, 2015;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at any time after the Issue Date, the Issuers may elect to establish that GAAP shall mean the GAAP as in effect on a date that is on or after the Issue Date and on or prior to the date of such election;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any such election, once made, shall be irrevocable. At any time after the Issue Date, the Issuers may elect to apply International Financial Reporting Standards (“</w:t>
      </w:r>
      <w:r>
        <w:rPr>
          <w:rFonts w:ascii="Times New Roman;Times;Serif" w:hAnsi="Times New Roman;Times;Serif"/>
          <w:b w:val="false"/>
          <w:i/>
          <w:caps w:val="false"/>
          <w:smallCaps w:val="false"/>
          <w:sz w:val="20"/>
          <w:shd w:fill="FFFFFF" w:val="clear"/>
        </w:rPr>
        <w:t>IFRS</w:t>
      </w:r>
      <w:r>
        <w:rPr>
          <w:rFonts w:ascii="Times New Roman;Times;Serif" w:hAnsi="Times New Roman;Times;Serif"/>
          <w:b w:val="false"/>
          <w:i w:val="false"/>
          <w:caps w:val="false"/>
          <w:smallCaps w:val="false"/>
          <w:sz w:val="20"/>
          <w:shd w:fill="FFFFFF" w:val="clear"/>
        </w:rPr>
        <w:t xml:space="preserve">”) accounting principles in lieu of GAAP and, upon any such election, references herein to GAAP shall thereafter be construed to mean IFRS (except as otherwise provided in this Indenture), including as to the ability of the Issuers to make an election pursuant to the previous sentence;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any such election, once made, shall be irrevocable; </w:t>
      </w:r>
      <w:r>
        <w:rPr>
          <w:rFonts w:ascii="Times New Roman;Times;Serif" w:hAnsi="Times New Roman;Times;Serif"/>
          <w:b w:val="false"/>
          <w:i/>
          <w:caps w:val="false"/>
          <w:smallCaps w:val="false"/>
          <w:sz w:val="20"/>
          <w:shd w:fill="FFFFFF" w:val="clear"/>
        </w:rPr>
        <w:t>provided, further</w:t>
      </w:r>
      <w:r>
        <w:rPr>
          <w:rFonts w:ascii="Times New Roman;Times;Serif" w:hAnsi="Times New Roman;Times;Serif"/>
          <w:b w:val="false"/>
          <w:i w:val="false"/>
          <w:caps w:val="false"/>
          <w:smallCaps w:val="false"/>
          <w:sz w:val="20"/>
          <w:shd w:fill="FFFFFF" w:val="clear"/>
        </w:rPr>
        <w:t xml:space="preserve">, that any calculation or determination in this Indenture that requires the application of GAAP for periods that include fiscal quarters ended prior to the Issuers’ election to apply IFRS shall remain as previously calculated or determined in accordance with GAAP; </w:t>
      </w:r>
      <w:r>
        <w:rPr>
          <w:rFonts w:ascii="Times New Roman;Times;Serif" w:hAnsi="Times New Roman;Times;Serif"/>
          <w:b w:val="false"/>
          <w:i/>
          <w:caps w:val="false"/>
          <w:smallCaps w:val="false"/>
          <w:sz w:val="20"/>
          <w:shd w:fill="FFFFFF" w:val="clear"/>
        </w:rPr>
        <w:t>provided, further again</w:t>
      </w:r>
      <w:r>
        <w:rPr>
          <w:rFonts w:ascii="Times New Roman;Times;Serif" w:hAnsi="Times New Roman;Times;Serif"/>
          <w:b w:val="false"/>
          <w:i w:val="false"/>
          <w:caps w:val="false"/>
          <w:smallCaps w:val="false"/>
          <w:sz w:val="20"/>
          <w:shd w:fill="FFFFFF" w:val="clear"/>
        </w:rPr>
        <w:t>, that the Issuers may only make such election if they also elect to report any subsequent financial reports required to be made by the Issuers, including pursuant to Section 13 or Section 15(d) of the Exchange Act and the covenants set forth under “Reports,” in IFRS. The Issuers shall give notice of any such election made in accordance with this definition to the Trustee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occurs a change in IFRS or GAAP, as the case may be, and such change would cause a change in the method of calculation of any standards, terms or measures (including all computations of amounts and ratios) used in this Indenture (an “</w:t>
      </w:r>
      <w:r>
        <w:rPr>
          <w:rFonts w:ascii="Times New Roman;Times;Serif" w:hAnsi="Times New Roman;Times;Serif"/>
          <w:b w:val="false"/>
          <w:i/>
          <w:caps w:val="false"/>
          <w:smallCaps w:val="false"/>
          <w:sz w:val="20"/>
        </w:rPr>
        <w:t>Accounting Change</w:t>
      </w:r>
      <w:r>
        <w:rPr>
          <w:rFonts w:ascii="Times New Roman;Times;Serif" w:hAnsi="Times New Roman;Times;Serif"/>
          <w:b w:val="false"/>
          <w:i w:val="false"/>
          <w:caps w:val="false"/>
          <w:smallCaps w:val="false"/>
          <w:sz w:val="20"/>
        </w:rPr>
        <w:t>”), then the Issuers may elect that such standards, terms or measures shall be calculated as if such Accounting Change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w:t>
      </w:r>
      <w:r>
        <w:rPr>
          <w:rFonts w:ascii="Times New Roman;Times;Serif" w:hAnsi="Times New Roman;Times;Serif"/>
          <w:b w:val="false"/>
          <w:i w:val="false"/>
          <w:caps w:val="false"/>
          <w:smallCaps w:val="false"/>
          <w:sz w:val="20"/>
        </w:rPr>
        <w:t xml:space="preserve">” means a permanent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as applicable, hereto that bears the Global Note Legend and that has the “Schedule of Exchanges of Interests in the Global Note” attached thereto, and that is deposited with or on behalf of and registered in the name of the Depositary, representing the Initial Notes or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means the legend set forth in Section 2.06(g)(ii) which is required to be placed on all Global Notes issued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IFRS</w:t>
      </w:r>
      <w:r>
        <w:rPr>
          <w:rFonts w:ascii="Times New Roman;Times;Serif" w:hAnsi="Times New Roman;Times;Serif"/>
          <w:b w:val="false"/>
          <w:i w:val="false"/>
          <w:caps w:val="false"/>
          <w:smallCaps w:val="false"/>
          <w:sz w:val="20"/>
        </w:rPr>
        <w:t>” has the meaning assigned to such term in the definition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the Base Indenture, as supplemented by this Supplemental Indenture and as further amended or supplemented from time to time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means the Notes issued on the Issue Date (and any Notes issued in respect thereof pursuant to Section 2.06, 2.07, 2.10 or 3.06 of this Supplemental Indenture or Section 9.05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Issuers</w:t>
      </w:r>
      <w:r>
        <w:rPr>
          <w:rFonts w:ascii="Times New Roman;Times;Serif" w:hAnsi="Times New Roman;Times;Serif"/>
          <w:b w:val="false"/>
          <w:i w:val="false"/>
          <w:caps w:val="false"/>
          <w:smallCaps w:val="false"/>
          <w:sz w:val="20"/>
        </w:rPr>
        <w:t>” means collectively, CCO and Capital Corp,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Junior Lien Intercreditor Agreement</w:t>
      </w:r>
      <w:r>
        <w:rPr>
          <w:rFonts w:ascii="Times New Roman;Times;Serif" w:hAnsi="Times New Roman;Times;Serif"/>
          <w:b w:val="false"/>
          <w:i w:val="false"/>
          <w:caps w:val="false"/>
          <w:smallCaps w:val="false"/>
          <w:sz w:val="20"/>
        </w:rPr>
        <w:t xml:space="preserve">” means a customary intercreditor agreement in form reasonably satisfactory to the Administrative Agent, Collateral Agent and CCO, pursuant to which,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any Lien that is intended to be subordinated to the Lien securing the Notes Obligations, is so subordinated.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Letter of Transmittal</w:t>
      </w:r>
      <w:r>
        <w:rPr>
          <w:rFonts w:ascii="Times New Roman;Times;Serif" w:hAnsi="Times New Roman;Times;Serif"/>
          <w:b w:val="false"/>
          <w:i w:val="false"/>
          <w:caps w:val="false"/>
          <w:smallCaps w:val="false"/>
          <w:sz w:val="20"/>
        </w:rPr>
        <w:t>” means the letter of transmittal to be prepared by the Issuers and sent to all Holders of any Notes for use by such Holders in connection with any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Material Subsidiary</w:t>
      </w:r>
      <w:r>
        <w:rPr>
          <w:rFonts w:ascii="Times New Roman;Times;Serif" w:hAnsi="Times New Roman;Times;Serif"/>
          <w:b w:val="false"/>
          <w:i w:val="false"/>
          <w:caps w:val="false"/>
          <w:smallCaps w:val="false"/>
          <w:sz w:val="20"/>
        </w:rPr>
        <w:t>” means any Person that is a Domestic Subsidiary if, at the end of the most recent fiscal quarter of CCO, the aggregate amount, determined in accordance with GAAP consistently applied, of securities of, loans and advances to, and other Investments in, such Person held by CCO and its Subsidiaries exceeded 10% of CCO’s Consolidated Net Worth. A Securitization Subsidiary shall not be considered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Net Short</w:t>
      </w:r>
      <w:r>
        <w:rPr>
          <w:rFonts w:ascii="Times New Roman;Times;Serif" w:hAnsi="Times New Roman;Times;Serif"/>
          <w:b w:val="false"/>
          <w:i w:val="false"/>
          <w:caps w:val="false"/>
          <w:smallCaps w:val="false"/>
          <w:sz w:val="20"/>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immediately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has the meaning assigned to it in the preamble and includes the Initial Notes, any Additional Notes and any Exchange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 Guarantors</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means Obligations in respect of the Notes or any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Offering Memorandum</w:t>
      </w:r>
      <w:r>
        <w:rPr>
          <w:rFonts w:ascii="Times New Roman;Times;Serif" w:hAnsi="Times New Roman;Times;Serif"/>
          <w:b w:val="false"/>
          <w:i w:val="false"/>
          <w:caps w:val="false"/>
          <w:smallCaps w:val="false"/>
          <w:sz w:val="20"/>
        </w:rPr>
        <w:t>” means the Offering Memorandum, dated July 23, 2026, as amended from time to time, in connection with the exchange offer relating to certain series of Existing Secured Notes and Existing TWC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 means (i) with respect to the 2038 Notes, June 1, 2038 and (ii) with respect to the 2041 Notes, June 1, 2041.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Performance References</w:t>
      </w:r>
      <w:r>
        <w:rPr>
          <w:rFonts w:ascii="Times New Roman;Times;Serif" w:hAnsi="Times New Roman;Times;Serif"/>
          <w:b w:val="false"/>
          <w:i w:val="false"/>
          <w:caps w:val="false"/>
          <w:smallCaps w:val="false"/>
          <w:sz w:val="20"/>
        </w:rPr>
        <w:t>” has the meaning assigned to such term in the definition of “Derivative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Permitted Securitization Financing</w:t>
      </w:r>
      <w:r>
        <w:rPr>
          <w:rFonts w:ascii="Times New Roman;Times;Serif" w:hAnsi="Times New Roman;Times;Serif"/>
          <w:b w:val="false"/>
          <w:i w:val="false"/>
          <w:caps w:val="false"/>
          <w:smallCaps w:val="false"/>
          <w:sz w:val="20"/>
        </w:rPr>
        <w:t>” means any financing arrangement or factoring of Securitization Assets by CCO or any Subsidiary or any securitization facility of any Securitization Subsidiary of CCO, in each case, the obligations of which are non-recourse (except for Standard Securitization Undertakings) to CCO or any Subsidiary (other than any Securitization Subsidiary)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means a register in which, subject to such reasonable regulations as it may prescribe, the Issuers shall provide for the registration of the Notes and of transfers and exchanges of such Notes which the Issuers shall cause to be kept at the appropriate office of the Registrar in accordance with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Registration Rights Agreement</w:t>
      </w:r>
      <w:r>
        <w:rPr>
          <w:rFonts w:ascii="Times New Roman;Times;Serif" w:hAnsi="Times New Roman;Times;Serif"/>
          <w:b w:val="false"/>
          <w:i w:val="false"/>
          <w:caps w:val="false"/>
          <w:smallCaps w:val="false"/>
          <w:sz w:val="20"/>
        </w:rPr>
        <w:t>” means (1) with respect to the Notes issued on the Issue Date, the Registration Rights Agreement, to be dated the Issue Date, among the Issuers and the Dealer Managers with respect to such Notes and (2) with respect to any Additional Notes, any registration rights agreement between the Issuers and the other parties thereto relating to the registration by the Issuers of such Additional Notes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Regulation S Global Note</w:t>
      </w:r>
      <w:r>
        <w:rPr>
          <w:rFonts w:ascii="Times New Roman;Times;Serif" w:hAnsi="Times New Roman;Times;Serif"/>
          <w:b w:val="false"/>
          <w:i w:val="false"/>
          <w:caps w:val="false"/>
          <w:smallCaps w:val="false"/>
          <w:sz w:val="20"/>
        </w:rPr>
        <w:t>”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hereto bearing the Global Note Legend, the Private Placement Legend and the Regulation S Legend deposited with or on behalf of, and registered in the name of, the Depositary or its nominee that will be issued in an initial denomination equal to the outstanding principal amount of any Initial Notes or Additional Notes initially sold in reliance on Rule 903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Rule 144A Global Note</w:t>
      </w:r>
      <w:r>
        <w:rPr>
          <w:rFonts w:ascii="Times New Roman;Times;Serif" w:hAnsi="Times New Roman;Times;Serif"/>
          <w:b w:val="false"/>
          <w:i w:val="false"/>
          <w:caps w:val="false"/>
          <w:smallCaps w:val="false"/>
          <w:sz w:val="20"/>
        </w:rPr>
        <w:t>” means a Global Note substantially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hereto bearing the Global Note Legend and the Private Placement Legend and deposited with or on behalf of, and registered in the name of, the Depositary or its nominee that will be issued in an initial denomination equal to the outstanding principal amount of any Initial Notes or Additional Notes initially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Screened Affiliate</w:t>
      </w:r>
      <w:r>
        <w:rPr>
          <w:rFonts w:ascii="Times New Roman;Times;Serif" w:hAnsi="Times New Roman;Times;Serif"/>
          <w:b w:val="false"/>
          <w:i w:val="false"/>
          <w:caps w:val="false"/>
          <w:smallCaps w:val="false"/>
          <w:sz w:val="20"/>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Issuers or their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Assets</w:t>
      </w:r>
      <w:r>
        <w:rPr>
          <w:rFonts w:ascii="Times New Roman;Times;Serif" w:hAnsi="Times New Roman;Times;Serif"/>
          <w:b w:val="false"/>
          <w:i w:val="false"/>
          <w:caps w:val="false"/>
          <w:smallCaps w:val="false"/>
          <w:sz w:val="20"/>
        </w:rPr>
        <w:t>” means accounts receivable, loans, mortgages, royalties, other rights to payment, supporting obligations therefor, proceeds therefrom and other related assets customarily disposed of or pledged in connection with non-recourse receivables financings or factorings or securitization facilities (as determined in good faith by CCO).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Securitization Subsidiary</w:t>
      </w:r>
      <w:r>
        <w:rPr>
          <w:rFonts w:ascii="Times New Roman;Times;Serif" w:hAnsi="Times New Roman;Times;Serif"/>
          <w:b w:val="false"/>
          <w:i w:val="false"/>
          <w:caps w:val="false"/>
          <w:smallCaps w:val="false"/>
          <w:sz w:val="20"/>
        </w:rPr>
        <w:t>” means any Subsidiary formed by CCO or any of its other Subsidiaries solely for purposes of consummating any Permitted Securitization Financing and which holds no material assets other than Securitization Assets and which is engaged in no material activities other than those related to such Permitted Securitization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Standard Securitization Undertakings</w:t>
      </w:r>
      <w:r>
        <w:rPr>
          <w:rFonts w:ascii="Times New Roman;Times;Serif" w:hAnsi="Times New Roman;Times;Serif"/>
          <w:b w:val="false"/>
          <w:i w:val="false"/>
          <w:caps w:val="false"/>
          <w:smallCaps w:val="false"/>
          <w:sz w:val="20"/>
        </w:rPr>
        <w:t>” means representations, warranties, covenants (including repurchase obligations) and indemnities entered into by CCO or any Subsidiary of CCO that CCO has determined in good faith are customary for “non-recourse” accounts receivables financings or factoring or securitization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Issuers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 15”) under the caption “U.S. government securities - Treasury constant maturities-Nominal” (or any successor caption or heading) (“H.15 TCM”).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such Par Call Date, one with a maturity date preceding such Par Call Date and one with a maturity date following such Par Call Date, the Issuers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has the meaning assigned to it in the preamble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Unrestricted Global Note</w:t>
      </w:r>
      <w:r>
        <w:rPr>
          <w:rFonts w:ascii="Times New Roman;Times;Serif" w:hAnsi="Times New Roman;Times;Serif"/>
          <w:b w:val="false"/>
          <w:i w:val="false"/>
          <w:caps w:val="false"/>
          <w:smallCaps w:val="false"/>
          <w:sz w:val="20"/>
        </w:rPr>
        <w:t>” means a permanent Global Note substantially in the form of Exhibit A-1 or Exhibit A-2 attached hereto that bears the Global Note Legend and that has the “Schedule of Exchanges of Interests in the Global Note” attached thereto, and that is deposited with or on behalf of and registered in the name of the Depositary, representing the Initial Notes or any Additional Notes that do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definition is added to Section 1.01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Existing Secured Notes</w:t>
      </w:r>
      <w:r>
        <w:rPr>
          <w:rFonts w:ascii="Times New Roman;Times;Serif" w:hAnsi="Times New Roman;Times;Serif"/>
          <w:b w:val="false"/>
          <w:i w:val="false"/>
          <w:caps w:val="false"/>
          <w:smallCaps w:val="false"/>
          <w:sz w:val="20"/>
        </w:rPr>
        <w:t>” means the previously issued debt securities of the Issuers outstanding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 of “Credit Agreement” in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xml:space="preserve">” means the Amended and Restated Credit Agreement, dated as of March 18, 1999, as amended and restated as of April 26, 2019, as amended by Amendment No. 1 on October 24, 2019, as amended by Amendment No. 2 on May 26, 2022, as amended by Amendment No. 3 on February 10, 2023, as amended by Amendment No. 4 on March 23, 2023, as amended by Amendment No. 5 on December 7, 2023, and as amended by Amendment No. 6 on December 3, 2024, by and among CCO Holdings, LLC, a Delaware limited liability company, as holdings, CCO, as the borrower, the lenders party thereto, Bank of America, N.A., as administrative agent, and the other parties thereto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and any agreement (and related document) governing indebtedness incurred to refinance, in whole or in part, the borrowings and commitments then outstanding or permitted to be outstanding under such Credit Agreement or a successor Credit Agreement, whether by the same or any other lender or group of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Supplemental Indenture shall not constitute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 of “Designated Parent Companies” in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Designated Parent Companies</w:t>
      </w:r>
      <w:r>
        <w:rPr>
          <w:rFonts w:ascii="Times New Roman;Times;Serif" w:hAnsi="Times New Roman;Times;Serif"/>
          <w:b w:val="false"/>
          <w:i w:val="false"/>
          <w:caps w:val="false"/>
          <w:smallCaps w:val="false"/>
          <w:sz w:val="20"/>
        </w:rPr>
        <w:t>” means Charter Communications, Inc., CCH II, CCH and CCHC.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 of “Existing TWC Notes” in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Existing TWC Notes</w:t>
      </w:r>
      <w:r>
        <w:rPr>
          <w:rFonts w:ascii="Times New Roman;Times;Serif" w:hAnsi="Times New Roman;Times;Serif"/>
          <w:b w:val="false"/>
          <w:i w:val="false"/>
          <w:caps w:val="false"/>
          <w:smallCaps w:val="false"/>
          <w:sz w:val="20"/>
        </w:rPr>
        <w:t>” means any debt securities of Time Warner Cable, LLC or any of its Subsidiaries (other than debt securities held by Time Warner Cable, LLC or any of its Subsidiaries) outstanding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 of “Permitted Liens” in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Permitted Liens”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Incurred by Subsidiaries of CCO to secure Indebtedness For Borrowed Money of such Subsidiaries to CCO or to one or more other Subsidiaries of CCO;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existing on the Issue Date (other than Liens securing obligations under the Credit Agreement, the Notes, the Existing Secured Notes or the Existing TWC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(excluding for the avoidance of doubt, any Liens securing the Existing TWC Notes) affecting property of a Person existing at the time it becomes a Subsidiary of CCO or at the time it merges into or consolidates with CCO or a Subsidiary of CCO or at the time of a sale, lease or other disposition of all or substantially all of the properties of such Person to CCO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(excluding for the avoidance of doubt, any Liens securing the Existing TWC Notes) on property or assets existing at the time of the acquisition thereof or incurred to secure payment of all or a part of the purchase price thereof or to secure indebtedness incurred prior to, at the time of, or within 18 months after the acquisition thereof for the purpose of financing all or part of the purchase price thereof, in a principal amount not exceeding 110%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on any property (including, for the avoidance of doubt, any fixed or capital assets) to secure all or part of the cost of acquisition thereof, improvements thereon or construction thereon or indebtedness incurred to provide funds for such purpose in a principal amount not exceeding 110% of the cost of such acquisitions, improvements or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Liens on shares of stock, indebtedness or other securities or assets of a Person that is not a Subsidiary of CCO;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any extension, renewal or replacement (or successive extensions, renewals or replacements), as a whole or in part, of any Liens described in clauses (2), (3), (4), (5), (6), (9), (10), (11), (12), (13), (14), (15), (16), (17) and (18) (it being understood that any such Liens described in clause (10) extended, renewed or replaced shall still be deemed outstanding for the purposes of such clause (10) and permitted thereunder), of this definition, for amounts not exceeding the principal amount of the Indebtedness For Borrowed Money secured by the Lien so extended, renewed or replaced (plus an amount equal to any premiums, accrued interest, fees and expenses payable in connection therewith);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extension, renewal or replacement Lien is limited to all or a part of the same assets that were covered by the Lien extended, renewed or replaced (plus improvements on such assets and any Liens on assets that could have secured the Indebtedness For Borrowed Money pursuant to written agreements and instruments existing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with respect to the Notes of each series, Liens securing Obligations in respect of the Notes of each series and the Note Guarantees thereof and Liens in favor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resulting from progress payments or partial payments under United States government contracts or subcontracts;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arising or existing in connection with Indebtedness For Borrowed Money in an aggregate principal amount not exceeding at the time such Lien is issued, created or assumed the greater of (a) 15% of the Consolidated Net Worth of CCO and (b) $7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securing the Increased Amount of Indebtedness For Borrowed Money so long as the Lien securing such Indebtedness For Borrowed Money was permitted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Liens arising under or in connection with any sale and leaseback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deposits made to secure the performance of bids, tenders, trade contracts, leases, statutory or regulatory obligations, surety and appeal bonds, bankers acceptances, government contracts, performance bonds and other obligations of a like nature incurred in the ordinary course of business, in each case excluding obligations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junior Liens on assets constituting Collateral under the Security Documents securing indebtedness of CCO, any Issuer or any Guarantor, which Lien shall be subordinated to the Liens securing the Notes Obligations pursuant to a Junior Lien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CoBank’s Liens (including the right of setoff) in the CoBank Equities and in any cash patronage;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Liens incurred by CCO Holdings, the Issuers or any Note Guarantor to secure Indebtedness For Borrowed Money of such entity to and/or in favor of any Issuer, any Note Guarantor or one or more Subsidiaries of any Issuer or Note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Liens on Equity Interests, Indebtedness or other securities or assets of a Person that is not a Subsidiary of any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Liens in connection with grants or subsidies from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 of “Private Placement Legend” in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 means the legend set forth in Section 2.06(g)(i)(A) to be placed on all Notes issued under this Indenture except where otherwise permitted by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definition of “Wholly Owned Subsidiary” in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Wholly Owned Subsidiary</w:t>
      </w:r>
      <w:r>
        <w:rPr>
          <w:rFonts w:ascii="Times New Roman;Times;Serif" w:hAnsi="Times New Roman;Times;Serif"/>
          <w:b w:val="false"/>
          <w:i w:val="false"/>
          <w:caps w:val="false"/>
          <w:smallCaps w:val="false"/>
          <w:sz w:val="20"/>
        </w:rPr>
        <w:t>” means, as to any Person, any other Person all of the Equity Interests of which (other than (i) directors’ qualifying shares required by law or (ii) in the case of CC VIII, LLC, the CCVIII Interest (as defined in the Credit Agreement)) are owned by such Person directly or through other Wholly Owned Subsidiaries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Other Definitions.</w:t>
      </w:r>
    </w:p>
    <w:p>
      <w:pPr>
        <w:pStyle w:val="TextBody"/>
        <w:bidi w:val="0"/>
        <w:spacing w:before="0" w:after="0"/>
        <w:jc w:val="left"/>
        <w:rPr>
          <w:caps w:val="false"/>
          <w:smallCaps w:val="false"/>
        </w:rPr>
      </w:pPr>
      <w:r>
        <w:rPr>
          <w:caps w:val="false"/>
          <w:smallCaps w:val="false"/>
        </w:rPr>
        <w:t> </w:t>
      </w:r>
    </w:p>
    <w:tbl>
      <w:tblPr>
        <w:tblW w:w="3490" w:type="dxa"/>
        <w:jc w:val="center"/>
        <w:tblInd w:w="0" w:type="dxa"/>
        <w:tblLayout w:type="fixed"/>
        <w:tblCellMar>
          <w:top w:w="0" w:type="dxa"/>
          <w:left w:w="0" w:type="dxa"/>
          <w:bottom w:w="0" w:type="dxa"/>
          <w:right w:w="0" w:type="dxa"/>
        </w:tblCellMar>
      </w:tblPr>
      <w:tblGrid>
        <w:gridCol w:w="2510"/>
        <w:gridCol w:w="980"/>
      </w:tblGrid>
      <w:tr>
        <w:trPr/>
        <w:tc>
          <w:tcPr>
            <w:tcW w:w="2510" w:type="dxa"/>
            <w:tcBorders/>
            <w:vAlign w:val="center"/>
          </w:tcPr>
          <w:p>
            <w:pPr>
              <w:pStyle w:val="TableContents"/>
              <w:bidi w:val="0"/>
              <w:spacing w:before="0" w:after="283"/>
              <w:jc w:val="left"/>
              <w:rPr/>
            </w:pPr>
            <w:r>
              <w:rPr/>
              <w:t>Term</w:t>
            </w:r>
          </w:p>
        </w:tc>
        <w:tc>
          <w:tcPr>
            <w:tcW w:w="980" w:type="dxa"/>
            <w:tcBorders/>
            <w:vAlign w:val="center"/>
          </w:tcPr>
          <w:p>
            <w:pPr>
              <w:pStyle w:val="TableContents"/>
              <w:bidi w:val="0"/>
              <w:spacing w:before="0" w:after="283"/>
              <w:jc w:val="center"/>
              <w:rPr/>
            </w:pPr>
            <w:r>
              <w:rPr/>
              <w:t>Defined</w:t>
              <w:br/>
              <w:t>in Section</w:t>
            </w:r>
          </w:p>
        </w:tc>
      </w:tr>
      <w:tr>
        <w:trPr/>
        <w:tc>
          <w:tcPr>
            <w:tcW w:w="2510" w:type="dxa"/>
            <w:tcBorders/>
            <w:vAlign w:val="center"/>
          </w:tcPr>
          <w:p>
            <w:pPr>
              <w:pStyle w:val="TableContents"/>
              <w:bidi w:val="0"/>
              <w:spacing w:before="0" w:after="283"/>
              <w:jc w:val="left"/>
              <w:rPr/>
            </w:pPr>
            <w:r>
              <w:rPr/>
              <w:t>“</w:t>
            </w:r>
            <w:r>
              <w:rPr>
                <w:i/>
              </w:rPr>
              <w:t>Authentication Order</w:t>
            </w:r>
            <w:r>
              <w:rPr/>
              <w:t>”</w:t>
              <w:tab/>
            </w:r>
          </w:p>
        </w:tc>
        <w:tc>
          <w:tcPr>
            <w:tcW w:w="980" w:type="dxa"/>
            <w:tcBorders/>
            <w:vAlign w:val="center"/>
          </w:tcPr>
          <w:p>
            <w:pPr>
              <w:pStyle w:val="TableContents"/>
              <w:bidi w:val="0"/>
              <w:spacing w:before="0" w:after="283"/>
              <w:jc w:val="center"/>
              <w:rPr/>
            </w:pPr>
            <w:r>
              <w:rPr/>
              <w:t>2.02</w:t>
            </w:r>
          </w:p>
        </w:tc>
      </w:tr>
      <w:tr>
        <w:trPr/>
        <w:tc>
          <w:tcPr>
            <w:tcW w:w="2510" w:type="dxa"/>
            <w:tcBorders/>
            <w:vAlign w:val="center"/>
          </w:tcPr>
          <w:p>
            <w:pPr>
              <w:pStyle w:val="TableContents"/>
              <w:bidi w:val="0"/>
              <w:spacing w:before="0" w:after="283"/>
              <w:jc w:val="left"/>
              <w:rPr/>
            </w:pPr>
            <w:r>
              <w:rPr/>
              <w:t>“</w:t>
            </w:r>
            <w:r>
              <w:rPr>
                <w:i/>
              </w:rPr>
              <w:t>Default Direction</w:t>
            </w:r>
            <w:r>
              <w:rPr/>
              <w:t>”</w:t>
              <w:tab/>
            </w:r>
          </w:p>
        </w:tc>
        <w:tc>
          <w:tcPr>
            <w:tcW w:w="980" w:type="dxa"/>
            <w:tcBorders/>
            <w:vAlign w:val="center"/>
          </w:tcPr>
          <w:p>
            <w:pPr>
              <w:pStyle w:val="TableContents"/>
              <w:bidi w:val="0"/>
              <w:spacing w:before="0" w:after="283"/>
              <w:jc w:val="center"/>
              <w:rPr/>
            </w:pPr>
            <w:r>
              <w:rPr/>
              <w:t>6.02</w:t>
            </w:r>
          </w:p>
        </w:tc>
      </w:tr>
      <w:tr>
        <w:trPr/>
        <w:tc>
          <w:tcPr>
            <w:tcW w:w="2510" w:type="dxa"/>
            <w:tcBorders/>
            <w:vAlign w:val="center"/>
          </w:tcPr>
          <w:p>
            <w:pPr>
              <w:pStyle w:val="TableContents"/>
              <w:bidi w:val="0"/>
              <w:spacing w:before="0" w:after="283"/>
              <w:jc w:val="left"/>
              <w:rPr/>
            </w:pPr>
            <w:r>
              <w:rPr/>
              <w:t>“</w:t>
            </w:r>
            <w:r>
              <w:rPr>
                <w:i/>
              </w:rPr>
              <w:t>Directing Holder</w:t>
            </w:r>
            <w:r>
              <w:rPr/>
              <w:t>”</w:t>
              <w:tab/>
            </w:r>
          </w:p>
        </w:tc>
        <w:tc>
          <w:tcPr>
            <w:tcW w:w="980" w:type="dxa"/>
            <w:tcBorders/>
            <w:vAlign w:val="center"/>
          </w:tcPr>
          <w:p>
            <w:pPr>
              <w:pStyle w:val="TableContents"/>
              <w:bidi w:val="0"/>
              <w:spacing w:before="0" w:after="283"/>
              <w:jc w:val="center"/>
              <w:rPr/>
            </w:pPr>
            <w:r>
              <w:rPr/>
              <w:t>6.02</w:t>
            </w:r>
          </w:p>
        </w:tc>
      </w:tr>
      <w:tr>
        <w:trPr/>
        <w:tc>
          <w:tcPr>
            <w:tcW w:w="2510" w:type="dxa"/>
            <w:tcBorders/>
            <w:vAlign w:val="center"/>
          </w:tcPr>
          <w:p>
            <w:pPr>
              <w:pStyle w:val="TableContents"/>
              <w:bidi w:val="0"/>
              <w:spacing w:before="0" w:after="283"/>
              <w:jc w:val="left"/>
              <w:rPr/>
            </w:pPr>
            <w:r>
              <w:rPr/>
              <w:t>“</w:t>
            </w:r>
            <w:r>
              <w:rPr>
                <w:i/>
              </w:rPr>
              <w:t>DTC</w:t>
            </w:r>
            <w:r>
              <w:rPr/>
              <w:t>”</w:t>
              <w:tab/>
            </w:r>
          </w:p>
        </w:tc>
        <w:tc>
          <w:tcPr>
            <w:tcW w:w="980" w:type="dxa"/>
            <w:tcBorders/>
            <w:vAlign w:val="center"/>
          </w:tcPr>
          <w:p>
            <w:pPr>
              <w:pStyle w:val="TableContents"/>
              <w:bidi w:val="0"/>
              <w:spacing w:before="0" w:after="283"/>
              <w:jc w:val="center"/>
              <w:rPr/>
            </w:pPr>
            <w:r>
              <w:rPr/>
              <w:t>2.03</w:t>
            </w:r>
          </w:p>
        </w:tc>
      </w:tr>
      <w:tr>
        <w:trPr/>
        <w:tc>
          <w:tcPr>
            <w:tcW w:w="2510" w:type="dxa"/>
            <w:tcBorders/>
            <w:vAlign w:val="center"/>
          </w:tcPr>
          <w:p>
            <w:pPr>
              <w:pStyle w:val="TableContents"/>
              <w:bidi w:val="0"/>
              <w:spacing w:before="0" w:after="283"/>
              <w:jc w:val="left"/>
              <w:rPr/>
            </w:pPr>
            <w:r>
              <w:rPr/>
              <w:t>“</w:t>
            </w:r>
            <w:r>
              <w:rPr>
                <w:i/>
              </w:rPr>
              <w:t>Noteholder Direction</w:t>
            </w:r>
            <w:r>
              <w:rPr/>
              <w:t>”</w:t>
              <w:tab/>
            </w:r>
          </w:p>
        </w:tc>
        <w:tc>
          <w:tcPr>
            <w:tcW w:w="980" w:type="dxa"/>
            <w:tcBorders/>
            <w:vAlign w:val="center"/>
          </w:tcPr>
          <w:p>
            <w:pPr>
              <w:pStyle w:val="TableContents"/>
              <w:bidi w:val="0"/>
              <w:spacing w:before="0" w:after="283"/>
              <w:jc w:val="center"/>
              <w:rPr/>
            </w:pPr>
            <w:r>
              <w:rPr/>
              <w:t>6.02</w:t>
            </w:r>
          </w:p>
        </w:tc>
      </w:tr>
      <w:tr>
        <w:trPr/>
        <w:tc>
          <w:tcPr>
            <w:tcW w:w="2510" w:type="dxa"/>
            <w:tcBorders/>
            <w:vAlign w:val="center"/>
          </w:tcPr>
          <w:p>
            <w:pPr>
              <w:pStyle w:val="TableContents"/>
              <w:bidi w:val="0"/>
              <w:spacing w:before="0" w:after="283"/>
              <w:jc w:val="left"/>
              <w:rPr/>
            </w:pPr>
            <w:r>
              <w:rPr/>
              <w:t>“</w:t>
            </w:r>
            <w:r>
              <w:rPr>
                <w:i/>
              </w:rPr>
              <w:t>Paying Agent</w:t>
            </w:r>
            <w:r>
              <w:rPr/>
              <w:t>”</w:t>
              <w:tab/>
            </w:r>
          </w:p>
        </w:tc>
        <w:tc>
          <w:tcPr>
            <w:tcW w:w="980" w:type="dxa"/>
            <w:tcBorders/>
            <w:vAlign w:val="center"/>
          </w:tcPr>
          <w:p>
            <w:pPr>
              <w:pStyle w:val="TableContents"/>
              <w:bidi w:val="0"/>
              <w:spacing w:before="0" w:after="283"/>
              <w:jc w:val="center"/>
              <w:rPr/>
            </w:pPr>
            <w:r>
              <w:rPr/>
              <w:t>2.03</w:t>
            </w:r>
          </w:p>
        </w:tc>
      </w:tr>
      <w:tr>
        <w:trPr/>
        <w:tc>
          <w:tcPr>
            <w:tcW w:w="2510" w:type="dxa"/>
            <w:tcBorders/>
            <w:vAlign w:val="center"/>
          </w:tcPr>
          <w:p>
            <w:pPr>
              <w:pStyle w:val="TableContents"/>
              <w:bidi w:val="0"/>
              <w:spacing w:before="0" w:after="283"/>
              <w:jc w:val="left"/>
              <w:rPr/>
            </w:pPr>
            <w:r>
              <w:rPr/>
              <w:t>“</w:t>
            </w:r>
            <w:r>
              <w:rPr>
                <w:i/>
              </w:rPr>
              <w:t>Position Representation</w:t>
            </w:r>
            <w:r>
              <w:rPr/>
              <w:t>”</w:t>
              <w:tab/>
            </w:r>
          </w:p>
        </w:tc>
        <w:tc>
          <w:tcPr>
            <w:tcW w:w="980" w:type="dxa"/>
            <w:tcBorders/>
            <w:vAlign w:val="center"/>
          </w:tcPr>
          <w:p>
            <w:pPr>
              <w:pStyle w:val="TableContents"/>
              <w:bidi w:val="0"/>
              <w:spacing w:before="0" w:after="283"/>
              <w:jc w:val="center"/>
              <w:rPr/>
            </w:pPr>
            <w:r>
              <w:rPr/>
              <w:t>6.02</w:t>
            </w:r>
          </w:p>
        </w:tc>
      </w:tr>
      <w:tr>
        <w:trPr/>
        <w:tc>
          <w:tcPr>
            <w:tcW w:w="2510" w:type="dxa"/>
            <w:tcBorders/>
            <w:vAlign w:val="center"/>
          </w:tcPr>
          <w:p>
            <w:pPr>
              <w:pStyle w:val="TableContents"/>
              <w:bidi w:val="0"/>
              <w:spacing w:before="0" w:after="283"/>
              <w:jc w:val="left"/>
              <w:rPr/>
            </w:pPr>
            <w:r>
              <w:rPr/>
              <w:t>“</w:t>
            </w:r>
            <w:r>
              <w:rPr>
                <w:i/>
              </w:rPr>
              <w:t>Registrar</w:t>
            </w:r>
            <w:r>
              <w:rPr/>
              <w:t xml:space="preserve">” </w:t>
              <w:tab/>
            </w:r>
          </w:p>
        </w:tc>
        <w:tc>
          <w:tcPr>
            <w:tcW w:w="980" w:type="dxa"/>
            <w:tcBorders/>
            <w:vAlign w:val="center"/>
          </w:tcPr>
          <w:p>
            <w:pPr>
              <w:pStyle w:val="TableContents"/>
              <w:bidi w:val="0"/>
              <w:spacing w:before="0" w:after="283"/>
              <w:jc w:val="center"/>
              <w:rPr/>
            </w:pPr>
            <w:r>
              <w:rPr/>
              <w:t>2.03</w:t>
            </w:r>
          </w:p>
        </w:tc>
      </w:tr>
      <w:tr>
        <w:trPr/>
        <w:tc>
          <w:tcPr>
            <w:tcW w:w="2510" w:type="dxa"/>
            <w:tcBorders/>
            <w:vAlign w:val="center"/>
          </w:tcPr>
          <w:p>
            <w:pPr>
              <w:pStyle w:val="TableContents"/>
              <w:bidi w:val="0"/>
              <w:spacing w:before="0" w:after="283"/>
              <w:jc w:val="left"/>
              <w:rPr/>
            </w:pPr>
            <w:r>
              <w:rPr/>
              <w:t>“</w:t>
            </w:r>
            <w:r>
              <w:rPr>
                <w:i/>
              </w:rPr>
              <w:t>series</w:t>
            </w:r>
            <w:r>
              <w:rPr/>
              <w:t xml:space="preserve">” </w:t>
              <w:tab/>
            </w:r>
          </w:p>
        </w:tc>
        <w:tc>
          <w:tcPr>
            <w:tcW w:w="980" w:type="dxa"/>
            <w:tcBorders/>
            <w:vAlign w:val="center"/>
          </w:tcPr>
          <w:p>
            <w:pPr>
              <w:pStyle w:val="TableContents"/>
              <w:bidi w:val="0"/>
              <w:spacing w:before="0" w:after="283"/>
              <w:jc w:val="center"/>
              <w:rPr/>
            </w:pPr>
            <w:r>
              <w:rPr/>
              <w:t>2.01</w:t>
            </w:r>
          </w:p>
        </w:tc>
      </w:tr>
      <w:tr>
        <w:trPr/>
        <w:tc>
          <w:tcPr>
            <w:tcW w:w="2510" w:type="dxa"/>
            <w:tcBorders/>
            <w:vAlign w:val="center"/>
          </w:tcPr>
          <w:p>
            <w:pPr>
              <w:pStyle w:val="TableContents"/>
              <w:bidi w:val="0"/>
              <w:spacing w:before="0" w:after="283"/>
              <w:jc w:val="left"/>
              <w:rPr/>
            </w:pPr>
            <w:r>
              <w:rPr/>
              <w:t>“</w:t>
            </w:r>
            <w:r>
              <w:rPr>
                <w:i/>
              </w:rPr>
              <w:t>Verification Covenant</w:t>
            </w:r>
            <w:r>
              <w:rPr/>
              <w:t>”</w:t>
              <w:tab/>
            </w:r>
          </w:p>
        </w:tc>
        <w:tc>
          <w:tcPr>
            <w:tcW w:w="980" w:type="dxa"/>
            <w:tcBorders/>
            <w:vAlign w:val="center"/>
          </w:tcPr>
          <w:p>
            <w:pPr>
              <w:pStyle w:val="TableContents"/>
              <w:bidi w:val="0"/>
              <w:spacing w:before="0" w:after="283"/>
              <w:jc w:val="center"/>
              <w:rPr/>
            </w:pPr>
            <w:r>
              <w:rPr/>
              <w:t>6.02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Rule of Construction.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Supplemental Indenture or the Notes there is mentioned, in any context, principal, interest or any other amount payable under or with respect to any Notes, such mention shall be deemed to include mention of the payment of Special Interest, to the extent that, in such context, Special Interest is, was or would be payable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2</w:t>
      </w:r>
      <w:r>
        <w:rPr>
          <w:rFonts w:ascii="Times New Roman;Times;Serif" w:hAnsi="Times New Roman;Times;Serif"/>
          <w:b/>
          <w:i w:val="false"/>
          <w:caps w:val="false"/>
          <w:smallCaps w:val="false"/>
          <w:sz w:val="20"/>
        </w:rPr>
        <w:br/>
        <w:br/>
        <w:t>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Form and Dating.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The Notes and the Trustee’s certificate of authentication shall be substantially in the form of (i) in the case of the 2038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and (ii) in the case of the 2041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The Notes are each a separate “</w:t>
      </w:r>
      <w:r>
        <w:rPr>
          <w:rFonts w:ascii="Times New Roman;Times;Serif" w:hAnsi="Times New Roman;Times;Serif"/>
          <w:b w:val="false"/>
          <w:i/>
          <w:caps w:val="false"/>
          <w:smallCaps w:val="false"/>
          <w:sz w:val="20"/>
        </w:rPr>
        <w:t>series</w:t>
      </w:r>
      <w:r>
        <w:rPr>
          <w:rFonts w:ascii="Times New Roman;Times;Serif" w:hAnsi="Times New Roman;Times;Serif"/>
          <w:b w:val="false"/>
          <w:i w:val="false"/>
          <w:caps w:val="false"/>
          <w:smallCaps w:val="false"/>
          <w:sz w:val="20"/>
        </w:rPr>
        <w:t>” of Notes for the purposes of the Base Indenture and this Supplemental Indenture. The Notes may have notations, legends or endorsements required by law, stock exchange rule or usage or this Supplemental Indenture. Each Note shall be dated the date of its authentication. The Notes shall be in minimum denominations of $2,000 and integral multiples of $1,000 in excess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Supplemental Indenture and the Issuers and the Trustee, by their execution and delivery of this Supplemental Indenture, expressly agree to such terms and provisions and to be bound thereby. However, to the extent any provision of any Note conflicts with the express provisions of this Supplemental Indenture, the provisions of this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Notes issued in global form shall be substantially in the form of (i) in the case of the 2038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and (ii) in the case of the 2041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including the Global Note Legend thereon and the “Schedule of Exchanges of Interests in the Global Note” attached thereto. Notes issued in definitive form shall be substantially in the form of (i) in the case of the 2038 Notes,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and (ii) in the case of the 2041 Notes,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without the Global Note Legend thereon and without the “Schedule of Exchanges of Interests in the Global Note” attached thereto. Each Global Note shall represent such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Form of Initial Notes, Etc</w:t>
      </w:r>
      <w:r>
        <w:rPr>
          <w:rFonts w:ascii="Times New Roman;Times;Serif" w:hAnsi="Times New Roman;Times;Serif"/>
          <w:b w:val="false"/>
          <w:i w:val="false"/>
          <w:caps w:val="false"/>
          <w:smallCaps w:val="false"/>
          <w:sz w:val="20"/>
        </w:rPr>
        <w:t>. All Initial Notes issued on the Issue Date are being or will be offered and sold only (i) to persons reasonably believed to be QIBs (in which case they will be evidenced by one or more Rule 144A Global Notes) or (ii) in reliance on Regulation S under the Securities Act (in which case they will be evidenced by one or more Regulation S Global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Euroclear and Clearstream Procedures Applicable</w:t>
      </w:r>
      <w:r>
        <w:rPr>
          <w:rFonts w:ascii="Times New Roman;Times;Serif" w:hAnsi="Times New Roman;Times;Serif"/>
          <w:b w:val="false"/>
          <w:i w:val="false"/>
          <w:caps w:val="false"/>
          <w:smallCaps w:val="false"/>
          <w:sz w:val="20"/>
        </w:rPr>
        <w:t>. The provisions of the “Operating Procedures of the Euroclear System” and “Terms and Conditions Governing Use of Euroclear” and the “General Terms and Conditions of Clearstream” and “Customer Handbook” of Clearstream (or, in each case, equivalent documents setting forth the procedures of Euroclear and Clearstream) shall be applicable to transfers of beneficial interests in Regulation S Global Notes that are held by Participants through Euroclear or Clearstream.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Execution and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Officers shall sign the Notes for each Issuer by manual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a Note is authenticated,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authenticated by the manual or electronic signature of the Trustee. The signature shall be conclusive evidence that the Note has been authenticated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Supplemental Indenture, the Issuers may deliver Notes executed by the Issuers to the Trustee for authentication; and the Trustee shall authenticate and deliver (i) Initial Notes for original issue in the aggregate principal amount specified by the Issuers, (ii) Additional Notes from time to time for original issue in aggregate principal amount specified by the Issuers and (iii) Exchange Notes from time to time for issue in exchange for a like principal amount of Initial Notes or Additional Notes, in each case specified in clauses (i) through (iii) above, upon a written order of the Issuers signed by an Officer of each Issuer (an “</w:t>
      </w:r>
      <w:r>
        <w:rPr>
          <w:rFonts w:ascii="Times New Roman;Times;Serif" w:hAnsi="Times New Roman;Times;Serif"/>
          <w:b w:val="false"/>
          <w:i/>
          <w:caps w:val="false"/>
          <w:smallCaps w:val="false"/>
          <w:sz w:val="20"/>
        </w:rPr>
        <w:t>Authentication Order</w:t>
      </w:r>
      <w:r>
        <w:rPr>
          <w:rFonts w:ascii="Times New Roman;Times;Serif" w:hAnsi="Times New Roman;Times;Serif"/>
          <w:b w:val="false"/>
          <w:i w:val="false"/>
          <w:caps w:val="false"/>
          <w:smallCaps w:val="false"/>
          <w:sz w:val="20"/>
        </w:rPr>
        <w:t>”). Such Authentication Order shall specify the amount and series of Notes to be authenticated and the date on which the Notes are to be authenticated, whether such Notes are to be Initial Notes, Additional Notes or Exchange Notes and whether the Notes are to be issued as one or more Global Notes and such other information as the Issuers may include or the Trustee may reasonably request. The aggregate principal amount of Notes which may be authenticated and delivered under this Supplemental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the Issuers will issue Initial Notes (a) in the case of the 2038 Notes, in the aggregate principal amount of $1,686,285,000 and (b) in the case of the 2041 Notes, in the aggregate principal amount of $1,627,538,000, in the form of one or more Rule 144A Global Notes and/or one or more Regulation S Global Notes, as provided in Section 2.01(c). Any Notes offered and sold in reliance on the exemption from registration under the Securities Act provided by Section 4(a)(2) thereunder or Rule 144A shall be issued as one or more Rule 144A Global Notes. Any Notes offered and sold in offshore transactions in reliance on Regulation S shall be issued as one or more Regulation S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Issuers to authenticate Notes. An authenticating agent may authenticate Notes whenever the Trustee may do so. Each reference in this Supplemental Indenture to authentication by the Trustee includes authentication by such agent. An authenticating agent has the same rights as an Agent to deal with Holders or an Affiliate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Registrar and Paying Agent.</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shall maintain an office or agency in the Borough of Manhattan, the City of New York, where Notes may be presented for registration of transfer or for exchange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and an office or agency where Notes may be presented for payment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Until otherwise designated by the Issuers, the Issuers’ office or agency in New York shall be the office of the Trustee maintained for such purpose. The Registrar shall keep the Register of the Notes and of their transfer and exchange. The Issuers may appoint one or more co-registrars and one or more additional paying agents. The term “</w:t>
      </w:r>
      <w:r>
        <w:rPr>
          <w:rFonts w:ascii="Times New Roman;Times;Serif" w:hAnsi="Times New Roman;Times;Serif"/>
          <w:b w:val="false"/>
          <w:i/>
          <w:caps w:val="false"/>
          <w:smallCaps w:val="false"/>
          <w:sz w:val="20"/>
        </w:rPr>
        <w:t>Registrar</w:t>
      </w:r>
      <w:r>
        <w:rPr>
          <w:rFonts w:ascii="Times New Roman;Times;Serif" w:hAnsi="Times New Roman;Times;Serif"/>
          <w:b w:val="false"/>
          <w:i w:val="false"/>
          <w:caps w:val="false"/>
          <w:smallCaps w:val="false"/>
          <w:sz w:val="20"/>
        </w:rPr>
        <w:t>” includes any co-registrar and the term “</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includes any additional paying agent. The Issuers may change any Paying Agent or Registrar without notice to any Holder. The Registrar or Paying Agent may resign at any time upon not less than 10 Business Days’ prior written notice to the Issuers. The Issuers shall enter into an appropriate agency agreement with any Agent not a party to this Supplemental Indenture, which shall incorporate any applicable terms of the TIA. The Issuers shall notify the Trustee in writing of the name and address of any Agent not a party to this Supplemental Indenture. The Company or any of its Subsidiaries may act as Paying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initially appoint The Depository Trust Company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initially appoint the Trustee to act as the Registrar and Paying Agent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Paying Agent to Hold Money in Trust.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of, premium, if any, and interest on the Notes will be payable at the office of the Paying Agent or, at the option of the Issuers, payment of interest may be made by check mailed to Holders at their respective addresses set forth in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all payments of principal, premium, if any, and interest with respect to the Notes represented by one or more Global Notes registered in the name or held by the Depositary shall be made by wire transfer of immediately available funds to accounts specified by the Holder prior to 10:00 a.m., New York time, on each due date of the principal and interest on any Note. 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an Issuer or a Subsidiary) shall have no further liability for the money. If an Issuer or a Subsidiary acts as Paying Agent, it shall segregate and hold in a separate trust fund for the benefit of Holders all money held by it as Paying Agent. Upon any bankruptcy or reorganization proceedings relating to the Issuers, the Trustee shall serve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Holder Lists.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Transfer and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Issuers deliver to the Trustee notice from the Depositary that it is unwilling or unable to continue to act as Depositary or that it is no longer a clearing agency registered under the Exchange Act and, in either case, a successor Depositary is not appointed by the Issuers within 120 days after the date of such notice from the Depositary;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Issuers in their sole discretion determine that the Global Notes (in whole but not in part) should be exchanged for Definitive Notes and deliver a written notice to such effect to the Trustee;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shall have occurred and be continuing a Default or Event of Default with respect to the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of the preceding events in (i), (ii) or (iii)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Transfer and Exchange of Beneficial Interests in the Global Notes</w:t>
      </w:r>
      <w:r>
        <w:rPr>
          <w:rFonts w:ascii="Times New Roman;Times;Serif" w:hAnsi="Times New Roman;Times;Serif"/>
          <w:b w:val="false"/>
          <w:i w:val="false"/>
          <w:caps w:val="false"/>
          <w:smallCaps w:val="false"/>
          <w:sz w:val="20"/>
        </w:rPr>
        <w:t>. The transfer and exchange of beneficial interests in the Global Notes shall be effected through the Depositary, in accordance with the provisions of this Supplemental Indenture and the Applicable Procedures. Beneficial interests in Restricted Global Notes shall be subject to restrictions on transfer comparable to those set forth herein to the extent required by the Securities Act. Prior to the expiration of the 40-day distribution compliance period set forth in Regulation S, beneficial interests in any Regulation S Global Notes may be held only through Euroclear or Clearstream unless transferred in accordance with Section 2.06(b)(iii)(B). Transfers of beneficial interests in the Global Notes also shall require compliance with either subparagraph (i) or (ii) below, as applicable, as well as one or more of the other following subparagraphs,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Transfer of Beneficial Interests in the Same Global Note</w:t>
      </w:r>
      <w:r>
        <w:rPr>
          <w:rFonts w:ascii="Times New Roman;Times;Serif" w:hAnsi="Times New Roman;Times;Serif"/>
          <w:b w:val="false"/>
          <w:i w:val="false"/>
          <w:caps w:val="false"/>
          <w:smallCaps w:val="false"/>
          <w:sz w:val="20"/>
        </w:rPr>
        <w:t>. Beneficial interests in any Restricted Global Note may be transferred to Persons who take delivery thereof in the form of a beneficial interest in the same Restricted Global Note in accordance with the transfer restrictions set forth in the Private Placement Legend.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All Other Transfers and Exchanges of Beneficial Interests in Global Notes</w:t>
      </w:r>
      <w:r>
        <w:rPr>
          <w:rFonts w:ascii="Times New Roman;Times;Serif" w:hAnsi="Times New Roman;Times;Serif"/>
          <w:b w:val="false"/>
          <w:i w:val="false"/>
          <w:caps w:val="false"/>
          <w:smallCaps w:val="false"/>
          <w:sz w:val="20"/>
        </w:rPr>
        <w:t>. In connection with all transfers and exchanges of beneficial interests that are not subject to Section 2.06(b)(i) above, the transferor of such beneficial interest must deliver to the Registrar either: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instructions given in accordance with the Applicable Procedures containing information regarding the Participant account to be credited with such increase;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instructions given by the Depositary to the Registrar containing information regarding the Person in whose name such Definitive Note shall be registered to effect the transfer or exchange referred to in (A) above.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an Exchange Offer by the Issuers in accordance with Section 2.06(f), the requirements of this Section 2.06(b)(ii) shall be deemed to have been satisfied upon receipt by the Exchange Agent of the instructions contained in the Letter of Transmittal delivered by the Holder of such beneficial interests in the Restricted Global Notes. Upon satisfaction of all of the requirements for transfer or exchange of beneficial interests in Global Notes contained in this Supplemental Indenture and the Notes or otherwise applicable under the Securities Act, the Trustee shall adjust the principal amount of the relevant Global Note(s) pursuant to Section 2.06(h).</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Transfer of Beneficial Interests to Another Restricted Global Note</w:t>
      </w:r>
      <w:r>
        <w:rPr>
          <w:rFonts w:ascii="Times New Roman;Times;Serif" w:hAnsi="Times New Roman;Times;Serif"/>
          <w:b w:val="false"/>
          <w:i w:val="false"/>
          <w:caps w:val="false"/>
          <w:smallCaps w:val="false"/>
          <w:sz w:val="20"/>
        </w:rPr>
        <w:t>.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transferee will take delivery in the form of a beneficial interest in the Rule 144A Global Note,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(1) thereof;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transferee will take delivery in the form of a beneficial interest in the Regulation S Global Note,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(2)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Transfer and Exchange of Beneficial Interests in a Restricted Global Note for Beneficial Interests in an Unrestricted Global Note</w:t>
      </w:r>
      <w:r>
        <w:rPr>
          <w:rFonts w:ascii="Times New Roman;Times;Serif" w:hAnsi="Times New Roman;Times;Serif"/>
          <w:b w:val="false"/>
          <w:i w:val="false"/>
          <w:caps w:val="false"/>
          <w:smallCaps w:val="false"/>
          <w:sz w:val="20"/>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above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pursuant to an Exchange Offer in accordance with a Registration Rights Agreement and the Holder of the beneficial interest to be transferred,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 Shelf Registration Statement in accordance with a Registration Rights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the Exchange Offer Registration Statement in accordance with a Registration Rights Agreement;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exchange or transfer is effected after the expiration of the 40-day distribution compliance period set forth in Regulation S and the Registrar receives the following: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beneficial interest in a Restricted Global Note proposes to exchange such beneficial interest for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 xml:space="preserve">Exhibit C </w:t>
      </w:r>
      <w:r>
        <w:rPr>
          <w:rFonts w:ascii="Times New Roman;Times;Serif" w:hAnsi="Times New Roman;Times;Serif"/>
          <w:b w:val="false"/>
          <w:i w:val="false"/>
          <w:caps w:val="false"/>
          <w:smallCaps w:val="false"/>
          <w:sz w:val="20"/>
        </w:rPr>
        <w:t>to the Base Indenture, including the certifications in item (1)(i) thereof;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(4)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pursuant to subparagraph (B) or (D) above at a time when an Unrestricted Global Note has not yet been issued, the Issuers shall issue and, upon receipt of an Authentication Order in accordance with Section 2.02, the Trustee shall authenticate one or more Unrestricted Global Notes in an aggregate principal amount equal to the aggregate principal amount of beneficial interests transferred pursuant to subparagraph (B) or (D) above.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Note cannot be exchanged for, or transferred to Persons who take delivery thereof in the form of, a beneficial interest in a Restricted Global Note.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Transfer or Exchange of Beneficial Interests for 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Beneficial Interests in Restricted Global Notes to Restricted Definitive Notes</w:t>
      </w:r>
      <w:r>
        <w:rPr>
          <w:rFonts w:ascii="Times New Roman;Times;Serif" w:hAnsi="Times New Roman;Times;Serif"/>
          <w:b w:val="false"/>
          <w:i w:val="false"/>
          <w:caps w:val="false"/>
          <w:smallCaps w:val="false"/>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beneficial interest in a Restricted Global Note proposes to exchange such beneficial interest for a Restricted Definitive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Base Indenture, including the certifications in item (2)(i)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beneficial interest in Regulation S Global Note shall not be so exchangeable until after the expiration of the 40-day distribution compliance period set forth in Regulation 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beneficial interest is being transferred to a QIB in accordance with Rule 144A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(1)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beneficial interest is being transferred to a Non-U.S. Person in an offshore transaction in accordance with Rule 903 or Rule 904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(2)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beneficial interest is being transferred pursuant to an exemption from the registration requirements of the Securities Act in accordance with Rule 144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(3)(i)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certificates and Opinion of Counsel required by item (3)(iv) thereof, if applicable;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such beneficial interest is being transferred to the Company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(3)(ii) thereof;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such beneficial interest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(3)(iii)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Note to be reduced accordingly pursuant to Section 2.06(h),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Beneficial Interests in Restricted Global Notes to Unrestricted Definitive Notes</w:t>
      </w:r>
      <w:r>
        <w:rPr>
          <w:rFonts w:ascii="Times New Roman;Times;Serif" w:hAnsi="Times New Roman;Times;Serif"/>
          <w:b w:val="false"/>
          <w:i w:val="false"/>
          <w:caps w:val="false"/>
          <w:smallCaps w:val="false"/>
          <w:sz w:val="20"/>
        </w:rPr>
        <w:t>.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pursuant to an Exchange Offer in accordance with a Registration Rights Agreement and the Holder of such beneficial interest,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 Shelf Registration Statement in accordance with a Registration Rights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the Exchange Offer Registration Statement in accordance with a Registration Rights Agreement;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exchange or transfer is effected after the expiration of the 40-day distribution compliance period set forth in Regulation S and the Registrar receives the following: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beneficial interest in a Restricted Global Note proposes to exchange such beneficial interest for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Base Indenture, including the certifications in item (1)(ii) thereof;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(4)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Beneficial Interests in Unrestricted Global Notes to Unrestricted Definitive Notes</w:t>
      </w:r>
      <w:r>
        <w:rPr>
          <w:rFonts w:ascii="Times New Roman;Times;Serif" w:hAnsi="Times New Roman;Times;Serif"/>
          <w:b w:val="false"/>
          <w:i w:val="false"/>
          <w:caps w:val="false"/>
          <w:smallCaps w:val="false"/>
          <w:sz w:val="20"/>
        </w:rPr>
        <w:t>.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the Trustee shall cause the aggregate principal amount of the applicable Global Note to be reduced accordingly pursuant to Section 2.06(h), and the Issuers shall execute and the Trustee shall authenticate and deliver to the Person designated in the instructions a Definitive Note in the appropriate principal amount. Any Definitive Note issued in exchange for a beneficial interest pursuant to this Section 2.06(c)(iii)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Transfer and Exchange of Definitive Notes for Beneficial Interests in Global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Restricted Definitive Notes to Beneficial Interests in Restricted Global Notes</w:t>
      </w:r>
      <w:r>
        <w:rPr>
          <w:rFonts w:ascii="Times New Roman;Times;Serif" w:hAnsi="Times New Roman;Times;Serif"/>
          <w:b w:val="false"/>
          <w:i w:val="false"/>
          <w:caps w:val="false"/>
          <w:smallCaps w:val="false"/>
          <w:sz w:val="20"/>
        </w:rPr>
        <w:t>.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Holder of such Restricted Definitive Note proposes to exchange such Note for a beneficial interest in a 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Base Indenture, including the certifications in item (2)(ii)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such Restricted Definitive Note is being transferred to a QIB in accordance with Rule 144A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(1)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Restricted Definitive Note is being transferred to a Non-U.S. Person in an offshore transaction in accordance with Rule 903 or Rule 904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(2)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such Restricted Definitive Note is being transferred pursuant to an exemption from the registration requirements of the Securities Act in accordance with Rule 144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(3)(i)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certificates and Opinion of Counsel required by item (3) thereof, if applicable;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such Restricted Definitive Note is being transferred to the Company or any of its Subsidiaries,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(3)(ii) thereof;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such Restricted Definitive Note is being transferred pursuant to an effective registration statement under the Securities Act, a certificate to the effect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(3)(iii)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Restricted Definitive Note, increase or cause to be increased the aggregate principal amount of, in the case of clause (A) above, the appropriate Restricted Global Note, in the case of clause (B) above, the Rule 144A Global Note or, in the case of clause (C) above, the Regulation S Global Note.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Restricted Definitive Notes to Beneficial Interests in Unrestricted Global Notes</w:t>
      </w:r>
      <w:r>
        <w:rPr>
          <w:rFonts w:ascii="Times New Roman;Times;Serif" w:hAnsi="Times New Roman;Times;Serif"/>
          <w:b w:val="false"/>
          <w:i w:val="false"/>
          <w:caps w:val="false"/>
          <w:smallCaps w:val="false"/>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pursuant to an Exchange Offer in accordance with a Registration Rights Agreement and the Holder,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transfer is effected pursuant to a Shelf Registration Statement in accordance with a Registration Rights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is effected by a broker-dealer pursuant to the Exchange Offer Registration Statement in accordance with a Registration Rights Agreement;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exchange or transfer is effected after the expiration of the 40-day distribution compliance period set forth in Regulation S and the Registrar receives the following: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Definitive Notes proposes to exchange such Notes for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Base Indenture, including the certifications in item (1)(iii) thereof;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Definitive Notes proposes to transfer such Notes to a Person who shall take delivery thereof in the form of a beneficial interest in the Unrestricted Global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(4)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of any of the subparagraphs in this Section 2.06(d)(ii), the Trustee shall cancel the Definitive Notes and increase or cause to be increased the aggregate principal amount of the Unrestricted Global Note.</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Unrestricted Definitive Notes to Beneficial Interests in Unrestricted Global Notes</w:t>
      </w:r>
      <w:r>
        <w:rPr>
          <w:rFonts w:ascii="Times New Roman;Times;Serif" w:hAnsi="Times New Roman;Times;Serif"/>
          <w:b w:val="false"/>
          <w:i w:val="false"/>
          <w:caps w:val="false"/>
          <w:smallCaps w:val="false"/>
          <w:sz w:val="20"/>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Note to a beneficial interest is effected pursuant to subparagraph (ii)(B), (ii)(D) or (iii) above at a time when an Unrestricted Global Note has not yet been issued, the Issuers shall issue and, upon receipt of an Authentication Order in accordance with Section 2.02, the Trustee shall authenticate one or more Unrestricted Global Notes in an aggregate principal amount equal to the principal amount of Definitive Notes so transferred.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Transfer and Exchange of Definitive Notes for Definitive Notes</w:t>
      </w:r>
      <w:r>
        <w:rPr>
          <w:rFonts w:ascii="Times New Roman;Times;Serif" w:hAnsi="Times New Roman;Times;Serif"/>
          <w:b w:val="false"/>
          <w:i w:val="false"/>
          <w:caps w:val="false"/>
          <w:smallCaps w:val="false"/>
          <w:sz w:val="20"/>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Restricted Definitive Notes to Restricted Definitive Notes</w:t>
      </w:r>
      <w:r>
        <w:rPr>
          <w:rFonts w:ascii="Times New Roman;Times;Serif" w:hAnsi="Times New Roman;Times;Serif"/>
          <w:b w:val="false"/>
          <w:i w:val="false"/>
          <w:caps w:val="false"/>
          <w:smallCaps w:val="false"/>
          <w:sz w:val="20"/>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transfer will be made pursuant to Rule 144A under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(1)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transfer will be made pursuant to Rule 903 or Rule 904,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(2) thereof;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transfer will be made pursuant to any other exemption from the registration requirements of the Securities Act, then the transferor must deliver a certificate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certificates and Opinion of Counsel required by item (3) thereof, if applicable.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Restricted Definitive Notes to Unrestricted Definitive Notes</w:t>
      </w:r>
      <w:r>
        <w:rPr>
          <w:rFonts w:ascii="Times New Roman;Times;Serif" w:hAnsi="Times New Roman;Times;Serif"/>
          <w:b w:val="false"/>
          <w:i w:val="false"/>
          <w:caps w:val="false"/>
          <w:smallCaps w:val="false"/>
          <w:sz w:val="20"/>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exchange or transfer is effected pursuant to an Exchange Offer in accordance with a Registration Rights Agreement and the Holder, in the case of an exchange, or the transferee, in the case of a transfer, certifies in the applicable Letter of Transmittal that it is not (1) a broker-dealer, (2) a Person participating in the distribution of the relevant Exchange Notes or (3) a Person who is an affiliate (as defined in Rule 144) of the Issuers;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such transfer is effected pursuant to a Shelf Registration Statement in accordance with a Registration Rights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such transfer is effected by a broker-dealer pursuant to an Exchange Offer Registration Statement in accordance with a Registration Rights Agreement;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exchange or transfer is effected after the expiration of the 40-day distribution compliance period set forth in Regulation S and the Registrar receives the following: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the Holder of such Restricted Definitive Notes proposes to exchange such Notes for an Unrestricted Definitive Note, a certificate from such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to the Base Indenture, including the certifications in item (1)(iv) thereof;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the Holder of such Restricted Definitive Notes proposes to transfer such Notes to a Person who shall take delivery thereof in the form of an Unrestricted Definitive Note, a certificate from such Holder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Base Indenture, including the certifications in item (4) thereof;</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subparagraph (D), if the Registrar so requests, an Opinion of Counsel in form reasonably acceptable to the Issuers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Unrestricted Definitive Notes to Unrestricted Definitive Notes</w:t>
      </w:r>
      <w:r>
        <w:rPr>
          <w:rFonts w:ascii="Times New Roman;Times;Serif" w:hAnsi="Times New Roman;Times;Serif"/>
          <w:b w:val="false"/>
          <w:i w:val="false"/>
          <w:caps w:val="false"/>
          <w:smallCaps w:val="false"/>
          <w:sz w:val="20"/>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Exchange Offer</w:t>
      </w:r>
      <w:r>
        <w:rPr>
          <w:rFonts w:ascii="Times New Roman;Times;Serif" w:hAnsi="Times New Roman;Times;Serif"/>
          <w:b w:val="false"/>
          <w:i w:val="false"/>
          <w:caps w:val="false"/>
          <w:smallCaps w:val="false"/>
          <w:sz w:val="20"/>
        </w:rPr>
        <w:t>. Upon the occurrence of an Exchange Offer in accordance with a Registration Rights Agreement, the Issuers shall issue and, upon receipt of an Authentication Order in accordance with Section 2.02, the Trustee shall authenticate, at the election of the Issuers, (i) one or more Unrestricted Global Notes in an aggregate principal amount equal to the principal amount of the beneficial interests in the Restricted Global Notes tendered for acceptance by Persons that certify in the applicable Letters of Transmittal that (x) they are not broker-dealers, (y) they are not participating in a distribution of the relevant Exchange Notes and (z) they are not affiliates (as defined in Rule 144) of the Issuers, and accepted for exchange in the relevant Exchange Offer or (ii) Definitive Notes in an aggregate principal amount equal to the principal amount of the Restricted Definitive Notes accepted for exchange in the relevant Exchange Offer. Concurrently with the issuance of such Notes, the Trustee shall cause the aggregate principal amount of the applicable Restricted Global Notes to be reduced accordingly, and the Issuers shall execute and the Trustee shall authenticate and deliver to the Persons designated by the Holders of Definitive Notes so accepted Definitive Notes in the appropriate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The following legends shall appear on the face of all Global Notes and Definitive Notes issued under this Supplemental Indenture unless specifically stated otherwise in the applicable provisions of this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permitted by subparagraph (B) below, each Restricted Global Note and each Definitive Note (and all Notes issued in exchange therefor or substitution thereof) shall bear the legend in substantially the following form:</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(OR ITS PREDECESSOR) EVIDENCED HEREBY WAS ORIGINALLY ISSUED IN A TRANSACTION EXEMPT FROM REGISTRATION UNDER SECTION 5 OF THE UNITED STATES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AND THE NOTE EVIDENCED HEREBY MAY NOT BE OFFERED, SOLD OR OTHERWISE TRANSFERRED IN THE ABSENCE OF SUCH REGISTRATION OR AN APPLICABLE EXEMPTION THEREFROM. EACH PURCHASER OF THE NOTES EVIDENCED HEREBY IS HEREBY NOTIFIED THAT THE SELLER MAY BE RELYING ON THE EXEMPTION FROM THE PROVISIONS OF SECTION 5 OF THE SECURITIES ACT PROVIDED BY RULE 144A THEREUNDER. THE HOLDER OF THE NOTES EVIDENCED HEREBY AGREES FOR THE BENEFIT OF THE ISSUERS THAT (A) SUCH SECURITY MAY BE RESOLD, PLEDGED OR OTHERWISE TRANSFERRED ONLY (I) (A) TO A PERSON WHO IS A QUALIFIED INSTITUTIONAL BUYER (AS DEFINED IN RULE 144A UNDER THE SECURITIES ACT) IN A TRANSACTION MEETING THE REQUIREMENTS OF RULE 144A, (B) IN A TRANSACTION MEETING THE REQUIREMENTS OF RULE 144 UNDER THE SECURITIES ACT, (C) OUTSIDE THE UNITED STATES TO A NON-U.S. PERSON IN A TRANSACTION MEETING THE REQUIREMENTS OF RULE 904 UNDER THE SECURITIES ACT, OR (D) IN ACCORDANCE WITH ANOTHER EXEMPTION FROM THE REGISTRATION REQUIREMENTS OF THE SECURITIES ACT (AND BASED UPON AN OPINION OF COUNSEL IF THE ISSUERS SO REQUEST), (II) TO CCO, OR (III)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NOTES EVIDENCED HEREBY OF THE RESALE RESTRICTIONS SET FORTH IN CLAUSE (A) ABOVE. NO REPRESENTATION CAN BE MADE AS TO THE AVAILABILITY OF THE EXEMPTION PROVIDED BY RULE 144 FOR RESALE OF THE NOTE EVIDENCED HEREBY.</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any Initial Note and any Global Note or Definitive Note issued pursuant to subparagraph (b)(iv), (c)(ii), (c)(iii), (d)(ii), (d)(iii), (e)(ii), (e)(iii) or (f) of this Section 2.06 (and all Notes issued in exchange therefor or substitution thereof) shall not bear the Private Placement Legend.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shall bear a legend in substantially the following form:</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 NEW JERSEY)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Regulation S Legend</w:t>
      </w:r>
      <w:r>
        <w:rPr>
          <w:rFonts w:ascii="Times New Roman;Times;Serif" w:hAnsi="Times New Roman;Times;Serif"/>
          <w:b w:val="false"/>
          <w:i w:val="false"/>
          <w:caps w:val="false"/>
          <w:smallCaps w:val="false"/>
          <w:sz w:val="20"/>
        </w:rPr>
        <w:t>. Each Regulation S Global Note should bear a legend in substantially the following form:</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(OR ITS PREDECESSOR) WAS ORIGINALLY ISSUED IN A TRANSACTION ORIGINALLY EXEMPT FROM REGISTRATION UNDER THE U.S.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General Provisions Relating to Transfers and Exchanges.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Issuers shall execute and the Trustee shall authenticate Global Notes and Definitive Notes upon the Issuers’ order or at the Registrar’s request.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service charge shall be made to a Holder of a beneficial interest in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 2.10 hereof and Section 9.05 of the Base Indenture).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Registrar shall not be required to register the transfer of or exchange any Note selected for redemption in whole or in part, except the unredeemed portion of any Note being redeemed in part.</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Global Notes and Definitive Notes issued upon any registration of transfer or exchange of Global Notes or Definitive Notes shall be the valid obligations of the Issuers, evidencing the same debt, and entitled to the same benefits under this Supplemental Indenture, as the Global Notes or Definitive Notes surrendered upon such registration of transfer or exchange.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Issuers shall not be required to register the transfer of or to exchange a Note between a record date and the next succeeding interest payment date.</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Trustee shall authenticate Global Notes and Definitive Notes in accordance with the provisions of Section 2.02.</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certifications, certificates and Opinions of Counsel required to be submitted to the Registrar pursuant to this Section 2.06 to effect a registration of transfer or exchange may be submitted by electronic mail.</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Holder of a Note agrees to indemnify the Issuers and the Trustee against any liability that may result from the transfer, exchange or assignment of such Holder’s Note in violation of any provision of this Supplemental Indenture and/or applicable United States Federal or state securities law.</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Trustee shall have no obligation or duty to monitor, determine or inquire as to compliance with any restrictions on transfer imposed under this Supplemental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Neither the Trustee nor any Agent shall have any responsibility for any actions taken or not taken by the Depositary.</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Replacement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an additional legally binding obligation of the Issuers and shall be entitled to all of the benefits of this Supplemental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Outstanding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outstanding at any time are all the Notes authenticated by the Trustee except for those canceled by it, those delivered to it for cancellation, those reductions in the interest in a Global Note effected by the Trustee in accordance with the provisions of this Supplemental Indenture, and those described in this Section 2.08 as not outstanding. Except as set forth in Section 2.09, a Note does not cease to be outstanding because an Issuer or an Affiliate of an Issuer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it ceases to be outstanding unless the Trustee receives proof satisfactory to it that the replaced Note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of the Base Indenture, it ceases to be outstanding and interest on it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an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Treasury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Notes have concurred in any direction, waiver or consent, Notes owned by the Issuers, or by any Person directly or indirectly controlled by or under direct or indirect common control with the Issuers or, if the TIA is applicable to this Supplemental Indenture, to the extent required by the TIA, any person controlling the Issuers, shall be considered as though not outstanding, except that for the purposes of determining whether the Trustee shall be protected in relying on any such direction, waiver or consent, only Notes that a Responsible Officer of the Trustee knows are so owned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Temporary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shall be reasonably acceptable to the Trustee. Without unreasonable delay, the Issuers shall prepare and the Trustee shall authenticate Definitive Notes in exchange for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temporary Notes shall be entitled to all of the benefits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Cancellation.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The Issuers may not issue new Notes to replace Notes that they have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Defaulted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Issuers default in a payment of interest on the Notes, the Issuers shall pay the defaulted interest in any lawful manner plus, to the extent lawful, interest payable on the defaulted interest, which interest on defaulted interest shall accrue until the defaulted interest is deemed paid hereunder, to the Persons who are Holders on a subsequent special record date, in each case at the rate provided in the Notes and in Section 4.01 of the Base Indenture. The Issuers shall notify the Trustee in writing of the amount of defaulted interest proposed to be paid on each Note and the date of the proposed payment. The Issuers shall fix or cause to be fixed each such special record date and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special record date shall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CUSIP Numbers.</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Issuers in issuing the Notes may use “CUSIP” numbers (if then generally in use), and, if so, the Trustee shall use “CUSIP” numbers in notices of redemption as a convenience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Issuers will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FATCA.</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hereby agree (i) to give notice to the Trustee upon becoming aware that any payment under the Indenture will be treated as a withholdable payment, as such term is used in Sections 1471-1474 of the U.S. Internal Revenue Code of 1986, as amended, and Treasury regulations promulgated thereunder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and (ii) that the Trustee shall be entitled to make any withholding or deductions from payments under the Indenture (and shall not be required to pay any additional amounts with respect to any such withholding or deduction on or in respect of the Notes) to the extent necessary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3</w:t>
      </w:r>
      <w:r>
        <w:rPr>
          <w:rFonts w:ascii="Times New Roman;Times;Serif" w:hAnsi="Times New Roman;Times;Serif"/>
          <w:b/>
          <w:i w:val="false"/>
          <w:caps w:val="false"/>
          <w:smallCaps w:val="false"/>
          <w:sz w:val="20"/>
        </w:rPr>
        <w:br/>
        <w:br/>
        <w:t>REDEMPTION AND PREPAYMENT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Article 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Notices to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Issuers elect to redeem Notes pursuant to the optional redemption provisions of Section 3.07, it shall furnish to the Trustee, at least 10 days but not more than 60 days before a redemption date, an Officers’ Certificate setting forth (i) the clause of this Supplemental Indenture pursuant to which the redemption shall occur, (ii) the redemption date, (iii) the principal amount of Notes to be redeemed and (iv) the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Issuers shall notify the Trustee 5 days prior to any such redemption, which notice period may be waived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Selection of Notes to Be Redeemed.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Notes are to be redeemed at any time, (x) if the Notes are held in definitive form, the Notes shall be selected for redemption by lot, and (y) if the Notes are held in global form, the Notes shall be selected for redemption by the depositary in accordance with their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by lot, the particular Notes to be redeemed shall be selected, unless otherwise provided herein, not less than 15 nor more than 30 days prior to the redemption date by the Trustee from the outstanding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Issuers in writing of the Notes selected for redemption and, in the case of any Note selected for partial redemption, the principal amount thereof to be redeemed. Notes and portions of Notes selected shall be in amounts of $2,000 or whole multiples of $1,000 in excess thereof; except that if all of a Holder’s Notes are to be redeemed, the entire outstanding amount of Notes held by such Holder, even if not a multiple of $1,000, shall be redeemed. Except as provided in the preceding sentence, provisions of this Supplemental Indenture that apply to Notes called for redemption also apply to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Notice of Redemption.</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days but not more than 60 days before a redemption date, the Issuers shall transmit or cause to be transmitted, a notice of redemption to each Holder whose Notes are to be redeemed at its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Notes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Note is being redeemed in part only, the portion of the principal amount of such Note to be redeemed and that, after the redemption date upon surrender of such Note, a new Note or Notes in principal amount equal to the unredeemed portion shall be issued upon cancellation of the original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name and address of the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Notes called for redemption must be surrendered to the Paying Agent to collect the redemption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unless the Issuers default in making such redemption payment, interest on Notes called for redemption and redeemed ceases to accrue on and after the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paragraph of the Notes and/or Section of this Supplemental Indenture pursuant to which the Notes called for redemption are being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that no representation is made as to the correctness or accuracy of the CUSIP number, if any, listed in such notice or printed on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conditions to the Issuers’ obligations to redeem the Notes as contemplated by Section 3.04;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CUSIP number,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Issuers’ name and at its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Issuers shall have delivered to the Trustee, at least 10 days prior to the redemption date (or such shorter period as to which the Trustee may agree in its sole discretion), an Officers’ Certificate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Effect of Notice of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notice of redemption is transmitted in accordance with Section 3.03, Notes called for redemption become irrevocably due and payable on the redemption date at the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redemption or notice of any redemption may, at the Issuers’ discretion, be given prior to the completion of a transaction or event (including an equity offering, other offering, issuance of indebtedness, a change of control or other transaction or event) and any redemption notice (including the amount of Notes redeemed and conditions precedent applicable to different amounts of Notes redeemed) may, in the Issuers’ discretion, be subject to one or more conditions precedent, including, but not limited to, completion of the related transaction or event. Any such redemption may be partial as a result of only some of the conditions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redemption or notice is subject to satisfaction of one or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Issuers in their sole discretion), or such redemption may not occur and such notice may be rescinded in the event that any or all such conditions shall not have been satisfied (or waived by the Issuers in their sole discretion) by the redemption date, or by the redemption date so delayed. In addition, the Issuers may provide in such notice that payment of the redemption price and performance of the Issuers’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Deposit of Redemption Price.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10:00 a.m., New York City time, on the redemption date, the Issuers shall deposit with the Trustee or with the Paying Agent money sufficient to pay the redemption price of and accrued interest on all Notes to be redeemed on such date. The Trustee or the Paying Agent shall promptly return to the Issuers any money deposited with the Trustee or the Paying Agent by the Issuers in excess of the amounts necessary to pay the redemption price of, and accrued interest on, all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Issuers comply with the provisions of the preceding paragraph, on and after the redemption date, interest shall cease to accrue on the Notes of a series or the portions thereof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Issuers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Notes Redeemed in Part.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of $2,000 principal amount or less shall be redeemed in part. Upon surrender of a Note that is redeemed in part, the Issuers shall issue and, upon the Issuers’ written request, the Trustee shall authenticate for the Holder at the expense of the Issuers a new Note equal in principal amount to the unredeemed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Optional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Section 3.07(c), the Issuers shall not have the option to redeem Notes pursuant to this Section 3.07(a) prior to the Par Call Date of the Notes. On or after the Par Call Date for the Notes of a series, the Issuers may redeem the Notes of such series, in whole or in part, at the Issuers’ option, on at least 10 days’ but not more than 60 days’ prior mailed or electronically delivered (or otherwise transmitted in accordance with DTC’s procedures) notice to the Holders thereof, at a redemption price equal to 100% of the principal amount of the Notes of such series to be redeemed plus accrued and unpaid interest on the principal amount being redeemed to, but not including, the redemption date (subject to the rights of Holders of Notes of such series on a record date to receive the related interest payment on the related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applicable Par Call Date with respect to each series of the Notes, the Issuers may redeem outstanding Notes, in whole or in part, at the Issuers’ option, at any time or from time to time, on at least 10 days’ but not more than 60 days’ prior mailed or electronically delivered (or otherwise transmitted in accordance with DTC’s procedures) notice to each Holder of the Notes of such series to be redeemed, at a redemption price expressed as a percentage of principal amount equal to the greater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 with respect to the 2038 Notes, 40 basis points and (ii) with respect to the 2041 Notes, 45 basis points,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unpaid interest accrued to the date of redemption, and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 of the principal amount of the notes to be redeemed,</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in either case, accrued and unpaid interest on the principal amount being redeemed to, but not including, the redemption date (subject to the rights of Holders of the Notes of such series on a record date to receive the related interest payment on the related interest payment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3.07 shall be made pursuant to the provisions of Section 3.01 through 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Mandatory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4</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4.03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Reports.</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CCO shall file with the Trustee, and transmit to Holders, such information, documents and other reports, and such summaries thereof, as may be required pursuant to the Trust Indenture Act at the times and in the manner provided pursuant to such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information, documents or reports required to be filed with the Commission pursuant to Section 13 or 15(d) of the Exchange Act shall be filed with the Trustee within 15 days after the same is so required to be filed with the Commission. CCO shall also comply with the other provisions of Trust Indenture Act Section 314(a). Delivery of such reports, information and documents to the Trustee is for informational purposes only and the Trustee’s receipt of such shall not constitute constructive notice of any information contained therein or determinable from information contained therein, including each Issuer’s compliance with any of its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above, for so long as the Issuers are direct or indirect majority-owned subsidiaries of any Parent (or other Person which, directly or indirectly, owns a majority of the outstanding common equity interests of CCO), if such Parent (or other Person which, directly or indirectly, owns a majority of the outstanding common equity interests of CCO) has furnished the Holders of the Notes or filed electronically with the Commission the reports described in the preceding paragraphs with respect to such Parent (or other Person which, directly or indirectly, owns a majority of the outstanding common equity interests of CCO) and such reports include a brief explanation (or such explanation is otherwise made available to the Holders) of the material differences between the financial statements of such Parent and that of CCO, then the Issuers shall be deemed to be in compliance with this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filed with the Commission and available at www.SEC.gov or made available on any Parent’s website shall be deemed transmitted, filed and delivered as required under this Section 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Special Interest Notice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Issuers are required to pay Special Interest, the Issuers shall provide written notice to the Trustee of the Issuers’ obligation to pay Special Interest no later than 15 days prior to the next interest payment date, which notice shall set forth the amount of the Special Interest to be paid by the Issuers on such payment date. The Trustee shall not at any time be under any duty or responsibility to any Holders to determine whether the Special Interest is payable or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i w:val="false"/>
          <w:caps w:val="false"/>
          <w:smallCaps w:val="false"/>
          <w:sz w:val="20"/>
        </w:rPr>
        <w:br/>
        <w:br/>
        <w:t>SUCCESSORS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5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i w:val="false"/>
          <w:caps w:val="false"/>
          <w:smallCaps w:val="false"/>
          <w:sz w:val="20"/>
        </w:rPr>
        <w:br/>
        <w:br/>
        <w:t>DEFAULTS AND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6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6.01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Events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by the context or where the term is otherwise defined for a specific purpose, the term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as used in this Indenture with respect to each series of Notes shall mean one of the following described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the payment of interest on such series of Notes, as applicable, when due, continued for 30 consecutive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in payment of principal of any Note of such series of Notes when due at maturity, upon optional redemption, upon required purchase, upon declaration of acceleration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failure by the Issuers or any Note Guarantor to comply for 90 days after notice with its covenants or other agreements (other than those described in the immediately preceding clauses (1) and (2)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default under this clause (3) will not constitute an Event of Default with respect to each series of Notes until the Trustee or the Holders of 30% in principal amount of the outstanding Notes of such series notify the Issuers of the default and the Issuers do not cure such default within the time specified after receipt of such notice;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notice of default may not be given with respect to any action taken, and reported publicly or to Holders, more than two years prior to such notice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(4)(I) any Issuer or any Subsidiary Guarantor that is a Significant Subsidiary pursuant to or within the meaning of Bankruptcy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consents to the appointment of a custodian of it or for all or substantially all of its property,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court of competent jurisdiction enters an order or decree under any Bankruptcy Code that:</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is for relief against an Issuer or a Subsidiary Guarantor that is a Significant Subsidiary in an involuntary case;</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appoints a custodian of an Issuer or a Subsidiary Guarantor that is a Significant Subsidiary or for all or substantially all of the property of an Issuer or a Subsidiary Guarantor that is a Significant Subsidiary; or</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orders the liquidation of an Issuer or a Subsidiary Guarantor that is a Significant Subsidiary, and the order or decree remains unstayed and in effect for 60 consecutive days.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this Indenture) or any Note Guarantor denies or disaffirms its obligations in writing under its Note Guarantee;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material portion of the Collateral ceases to be subject to the Liens of the Security Documents (other than in accordance with the terms of this Indenture and the Security Documents) or any Issuer or Subsidiary Guarantor denies or disaffirms its obligations in writing under the Security Documents to which it is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6.02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Acceleration.</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arising from Section 6.01(4) with respect to CCO occurs and is continuing, the principal of and accrued but unpaid interest on all outstanding Notes of the applicable series shall </w:t>
      </w:r>
      <w:r>
        <w:rPr>
          <w:rFonts w:ascii="Times New Roman;Times;Serif" w:hAnsi="Times New Roman;Times;Serif"/>
          <w:b w:val="false"/>
          <w:i/>
          <w:caps w:val="false"/>
          <w:smallCaps w:val="false"/>
          <w:sz w:val="20"/>
        </w:rPr>
        <w:t xml:space="preserve">ipso facto </w:t>
      </w:r>
      <w:r>
        <w:rPr>
          <w:rFonts w:ascii="Times New Roman;Times;Serif" w:hAnsi="Times New Roman;Times;Serif"/>
          <w:b w:val="false"/>
          <w:i w:val="false"/>
          <w:caps w:val="false"/>
          <w:smallCaps w:val="false"/>
          <w:sz w:val="20"/>
        </w:rPr>
        <w:t>become immediately due and payable without any declaration or other act on the part of the Trustee or any Holders of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each series of the Notes occurs and is continuing, the Trustee by notice to the Issuers or the Holders of at least 30% in principal amount of the then outstanding Notes of such series by notice to the Issuers and the Trustee may declare such series of the Notes to be due and payable. Upon such a declaration, such principal and interest shall be due and payable immediately. The Holders of a majority in aggregate principal amount of such series of the Notes then outstanding by written notice to the Trustee may on behalf of all of the Holders rescind an acceleration and its consequences with respect to such series of the Notes if the rescission would not conflict with any judgment or decree and if all existing Events of Default (except non-payment of principal, interest or premium that has become due solely because of the acceleration) have been cured or waived. Any time period in this Indenture to cure any actual or alleged Default or Event of Default with respect to each series of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Default, notice of acceleration or instruction to the Trustee to provide a notice of Default, notice of acceleration or take any other action (a “</w:t>
      </w:r>
      <w:r>
        <w:rPr>
          <w:rFonts w:ascii="Times New Roman;Times;Serif" w:hAnsi="Times New Roman;Times;Serif"/>
          <w:b w:val="false"/>
          <w:i/>
          <w:caps w:val="false"/>
          <w:smallCaps w:val="false"/>
          <w:sz w:val="20"/>
        </w:rPr>
        <w:t>Noteholder Direction</w:t>
      </w:r>
      <w:r>
        <w:rPr>
          <w:rFonts w:ascii="Times New Roman;Times;Serif" w:hAnsi="Times New Roman;Times;Serif"/>
          <w:b w:val="false"/>
          <w:i w:val="false"/>
          <w:caps w:val="false"/>
          <w:smallCaps w:val="false"/>
          <w:sz w:val="20"/>
        </w:rPr>
        <w:t>”) provided by any one or more Holders (each, a “</w:t>
      </w:r>
      <w:r>
        <w:rPr>
          <w:rFonts w:ascii="Times New Roman;Times;Serif" w:hAnsi="Times New Roman;Times;Serif"/>
          <w:b w:val="false"/>
          <w:i/>
          <w:caps w:val="false"/>
          <w:smallCaps w:val="false"/>
          <w:sz w:val="20"/>
        </w:rPr>
        <w:t>Directing Holder</w:t>
      </w:r>
      <w:r>
        <w:rPr>
          <w:rFonts w:ascii="Times New Roman;Times;Serif" w:hAnsi="Times New Roman;Times;Serif"/>
          <w:b w:val="false"/>
          <w:i w:val="false"/>
          <w:caps w:val="false"/>
          <w:smallCaps w:val="false"/>
          <w:sz w:val="20"/>
        </w:rPr>
        <w:t>”) must be accompanied by a written representation from each such Holder to the Issuers and the Trustee that such Holder is not (or, in the case such Holder is DTC or its nominee, that such Holder is being instructed solely by beneficial owners that are not) Net Short (a “</w:t>
      </w:r>
      <w:r>
        <w:rPr>
          <w:rFonts w:ascii="Times New Roman;Times;Serif" w:hAnsi="Times New Roman;Times;Serif"/>
          <w:b w:val="false"/>
          <w:i/>
          <w:caps w:val="false"/>
          <w:smallCaps w:val="false"/>
          <w:sz w:val="20"/>
        </w:rPr>
        <w:t>Position Representation</w:t>
      </w:r>
      <w:r>
        <w:rPr>
          <w:rFonts w:ascii="Times New Roman;Times;Serif" w:hAnsi="Times New Roman;Times;Serif"/>
          <w:b w:val="false"/>
          <w:i w:val="false"/>
          <w:caps w:val="false"/>
          <w:smallCaps w:val="false"/>
          <w:sz w:val="20"/>
        </w:rPr>
        <w:t>”), which representation, in the case of a Noteholder Direction relating to a notice of Default (a “</w:t>
      </w:r>
      <w:r>
        <w:rPr>
          <w:rFonts w:ascii="Times New Roman;Times;Serif" w:hAnsi="Times New Roman;Times;Serif"/>
          <w:b w:val="false"/>
          <w:i/>
          <w:caps w:val="false"/>
          <w:smallCaps w:val="false"/>
          <w:sz w:val="20"/>
        </w:rPr>
        <w:t>Default Direction</w:t>
      </w:r>
      <w:r>
        <w:rPr>
          <w:rFonts w:ascii="Times New Roman;Times;Serif" w:hAnsi="Times New Roman;Times;Serif"/>
          <w:b w:val="false"/>
          <w:i w:val="false"/>
          <w:caps w:val="false"/>
          <w:smallCaps w:val="false"/>
          <w:sz w:val="20"/>
        </w:rPr>
        <w:t>”), shall be deemed repeated at all times until the resulting Event of Default is cured or otherwise ceases to exist or the applicable series of Notes are accelerated. In addition, each Directing Holder must, at the time of providing a Noteholder Direction, covenant to provide the Issuers with such other information as the Issuers may reasonably request from time to time in order to verify the accuracy of such Directing Holder’s Position Representation within five Business Days of request therefor (a “</w:t>
      </w:r>
      <w:r>
        <w:rPr>
          <w:rFonts w:ascii="Times New Roman;Times;Serif" w:hAnsi="Times New Roman;Times;Serif"/>
          <w:b w:val="false"/>
          <w:i/>
          <w:caps w:val="false"/>
          <w:smallCaps w:val="false"/>
          <w:sz w:val="20"/>
        </w:rPr>
        <w:t>Verification Covenant</w:t>
      </w:r>
      <w:r>
        <w:rPr>
          <w:rFonts w:ascii="Times New Roman;Times;Serif" w:hAnsi="Times New Roman;Times;Serif"/>
          <w:b w:val="false"/>
          <w:i w:val="false"/>
          <w:caps w:val="false"/>
          <w:smallCaps w:val="false"/>
          <w:sz w:val="20"/>
        </w:rPr>
        <w: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of the applicable series, the Issuers determine in good faith that there is a reasonable basis to believe a Directing Holder was, at any relevant time, in breach of its Position Representation and provide to the Trustee evidence that the Issuers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of the applicable series,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Issuers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of the applicable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monitor or determine whether a Holder is Net Short and can rely conclusively on the Officers’ Certificates delivered by the Issuers and determinations made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7</w:t>
      </w:r>
      <w:r>
        <w:rPr>
          <w:rFonts w:ascii="Times New Roman;Times;Serif" w:hAnsi="Times New Roman;Times;Serif"/>
          <w:b/>
          <w:i w:val="false"/>
          <w:caps w:val="false"/>
          <w:smallCaps w:val="false"/>
          <w:sz w:val="20"/>
        </w:rPr>
        <w:br/>
        <w:br/>
        <w:t>TRUSTEE</w:t>
      </w:r>
    </w:p>
    <w:p>
      <w:pPr>
        <w:pStyle w:val="TextBody"/>
        <w:bidi w:val="0"/>
        <w:spacing w:before="0" w:after="0"/>
        <w:ind w:left="540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8</w:t>
      </w:r>
      <w:r>
        <w:rPr>
          <w:rFonts w:ascii="Times New Roman;Times;Serif" w:hAnsi="Times New Roman;Times;Serif"/>
          <w:b/>
          <w:i w:val="false"/>
          <w:caps w:val="false"/>
          <w:smallCaps w:val="false"/>
          <w:sz w:val="20"/>
        </w:rPr>
        <w:br/>
        <w:br/>
        <w:t>LEGAL DEFEASANCE AND COVENANT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8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9</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SUPPLEMENT AND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9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9.01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Without Consent of Holders of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9.02 of this Indenture, the Issuers, the Trustee and the Collateral Agent may amend or supplement this Indenture, the Intercreditor Agreement, any Note Guarantee, any Security Document or the Notes without the consent of any Holder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cure any ambiguity, omission, mistake, defect or inconsistency;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the assumption by a successor Person of the obligations of the Issuers or any Note Guarantor under the Indenture or the Security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add Guarantees with respect to the Notes or to add additional Collateral to secure the Notes and the Note Guarantees;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add to the covenants of the Issuers or any Note Guarantor for the benefit of the Holders of the Notes or to surrender any right or power conferred upon the Issuers or any Note Guarantor;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make any change that would provide any additional rights or benefits to Holders of any series or that does not adversely affect the legal rights under this Indenture of any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conform the text of the Indenture, the Notes, any Note Guarantee, the Intercreditor Agreement or any Security Document to the description and terms of such Notes in the offering circular, offering memorandum, prospectus supplement or other offering document applicable to such Notes as the time of the initial sale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make any amendment to the provisions of the Indenture relating to the transfer and legending of Notes; provided, however, that (a) compliance with the Indenture as so amended would not result in Notes being transferred in violation of the Securities Act or any other applicable securities law and (b) such amendment does not materially and adversely affect the rights of Holders to transfer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release Collateral from the Lien under the Security Document when permitted or required by the Security Documents, the Indenture or the Intercreditor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evidence and provide for the acceptance and appointment under the Indenture of a successor Trustee or Collateral Agent thereunder pursuant to the requirements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release a Note Guarantor pursuant to the terms of Article 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to change or eliminate any of the provisions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change or elimination shall not be effective with respect to any outstanding Notes of any series created prior to the execution of such supplemental indenture that is entitled to the benefit of such provision;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to change or eliminate any provisions of this Indenture or the Notes to eliminate the effect of any Accounting Change or in the application thereof as described in the last paragraph of the definition of “GAAP;”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(14) to provide for or confirm the issuance of Additional Notes or the Exchange Notes pursuant to the Registration Rights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the Holders of the Notes is not necessary to approve the particular form of any proposed amendment. It is sufficient if such consent approves the substance of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Issuers accompanied by a resolution of their respective boards of directors authorizing the execution of any such amended or supplemental indenture, and upon receipt by the Trustee and the Collateral Agent of an Officers’ Certificate and an Opinion of Counsel pursuant to Section 9.06, the Trustee and the Collateral Agent shall join with the Issuers and any Note Guarantors in the execution of any amended or supplemental indenture authorized or permitted by the terms of this Indenture and to make any further appropriate agreements and stipulations that may be therein contained, but the Trustee and the Collateral Agent shall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10</w:t>
      </w:r>
      <w:r>
        <w:rPr>
          <w:rFonts w:ascii="Times New Roman;Times;Serif" w:hAnsi="Times New Roman;Times;Serif"/>
          <w:b/>
          <w:i w:val="false"/>
          <w:caps w:val="false"/>
          <w:smallCaps w:val="false"/>
          <w:sz w:val="20"/>
        </w:rPr>
        <w:br/>
        <w:br/>
        <w:t>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and the Note Guarantors hereby agree to expressly subject themselves to the provisions of Article 10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11</w:t>
      </w:r>
      <w:r>
        <w:rPr>
          <w:rFonts w:ascii="Times New Roman;Times;Serif" w:hAnsi="Times New Roman;Times;Serif"/>
          <w:b/>
          <w:i w:val="false"/>
          <w:caps w:val="false"/>
          <w:smallCaps w:val="false"/>
          <w:sz w:val="20"/>
        </w:rPr>
        <w:br/>
        <w:br/>
        <w:t>[Reserved.]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12</w:t>
      </w:r>
      <w:r>
        <w:rPr>
          <w:rFonts w:ascii="Times New Roman;Times;Serif" w:hAnsi="Times New Roman;Times;Serif"/>
          <w:b/>
          <w:i w:val="false"/>
          <w:caps w:val="false"/>
          <w:smallCaps w:val="false"/>
          <w:sz w:val="20"/>
        </w:rPr>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12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paragraph of Section 12.02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or other communications required or permitted hereunder shall be in writing and shall be sufficiently given if made by hand delivery, first class mail (registered or certified, return receipt requested), electronic transmission or overnight air courier guaranteeing next day delivery, and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Issuers:</w:t>
      </w:r>
    </w:p>
    <w:p>
      <w:pPr>
        <w:pStyle w:val="TextBody"/>
        <w:shd w:fill="FFFFFF" w:val="clear"/>
        <w:bidi w:val="0"/>
        <w:spacing w:before="0" w:after="0"/>
        <w:ind w:left="979" w:right="0" w:hanging="0"/>
        <w:jc w:val="left"/>
        <w:rPr>
          <w:caps w:val="false"/>
          <w:smallCaps w:val="false"/>
        </w:rPr>
      </w:pPr>
      <w:r>
        <w:rPr>
          <w:caps w:val="false"/>
          <w:smallCaps w:val="false"/>
        </w:rPr>
        <w:t>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Charter Communications, Inc.</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Washington Blvd.</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06902</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Mail: [***]</w:t>
      </w:r>
    </w:p>
    <w:p>
      <w:pPr>
        <w:pStyle w:val="TextBody"/>
        <w:shd w:fill="FFFFFF" w:val="clear"/>
        <w:bidi w:val="0"/>
        <w:spacing w:before="0" w:after="0"/>
        <w:ind w:left="979" w:right="0" w:hanging="0"/>
        <w:jc w:val="left"/>
        <w:rPr>
          <w:caps w:val="false"/>
          <w:smallCaps w:val="false"/>
        </w:rPr>
      </w:pPr>
      <w:r>
        <w:rPr>
          <w:caps w:val="false"/>
          <w:smallCaps w:val="false"/>
        </w:rPr>
        <w:t> </w:t>
      </w:r>
    </w:p>
    <w:p>
      <w:pPr>
        <w:pStyle w:val="TextBody"/>
        <w:bidi w:val="0"/>
        <w:spacing w:before="0" w:after="0"/>
        <w:ind w:left="97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shd w:fill="FFFFFF" w:val="clear"/>
        <w:bidi w:val="0"/>
        <w:spacing w:before="0" w:after="0"/>
        <w:ind w:left="979" w:right="0" w:hanging="0"/>
        <w:jc w:val="left"/>
        <w:rPr>
          <w:caps w:val="false"/>
          <w:smallCaps w:val="false"/>
        </w:rPr>
      </w:pPr>
      <w:r>
        <w:rPr>
          <w:caps w:val="false"/>
          <w:smallCaps w:val="false"/>
        </w:rPr>
        <w:t>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shd w:fill="FFFFFF" w:val="clear"/>
        <w:bidi w:val="0"/>
        <w:spacing w:before="0" w:after="0"/>
        <w:ind w:left="979" w:right="0" w:hanging="0"/>
        <w:jc w:val="left"/>
        <w:rPr>
          <w:caps w:val="false"/>
          <w:smallCaps w:val="false"/>
        </w:rPr>
      </w:pPr>
      <w:r>
        <w:rPr>
          <w:caps w:val="false"/>
          <w:smallCaps w:val="false"/>
        </w:rPr>
        <w:t>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Christian O. Nagler, P.C.</w:t>
      </w:r>
    </w:p>
    <w:p>
      <w:pPr>
        <w:pStyle w:val="TextBody"/>
        <w:shd w:fill="FFFFFF" w:val="clear"/>
        <w:bidi w:val="0"/>
        <w:spacing w:before="0" w:after="0"/>
        <w:ind w:left="979" w:right="0" w:hanging="0"/>
        <w:jc w:val="left"/>
        <w:rPr>
          <w:caps w:val="false"/>
          <w:smallCaps w:val="false"/>
        </w:rPr>
      </w:pPr>
      <w:r>
        <w:rPr>
          <w:caps w:val="false"/>
          <w:smallCaps w:val="false"/>
        </w:rPr>
        <w:t>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shd w:fill="FFFFFF" w:val="clear"/>
        <w:bidi w:val="0"/>
        <w:spacing w:before="0" w:after="0"/>
        <w:ind w:left="979" w:right="0" w:hanging="0"/>
        <w:jc w:val="left"/>
        <w:rPr>
          <w:caps w:val="false"/>
          <w:smallCaps w:val="false"/>
        </w:rPr>
      </w:pPr>
      <w:r>
        <w:rPr>
          <w:caps w:val="false"/>
          <w:smallCaps w:val="false"/>
        </w:rPr>
        <w:t>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Ross Street, 12th Floor</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AIM #154-1275</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Pittsburgh, Pennsylvania 15262</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shd w:fill="FFFFFF" w:val="clear"/>
        <w:bidi w:val="0"/>
        <w:spacing w:before="0" w:after="0"/>
        <w:ind w:left="9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Trust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last paragraph of Section 12.02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accept and act upon instructions, including funds transfer instructions (“</w:t>
      </w:r>
      <w:r>
        <w:rPr>
          <w:rFonts w:ascii="Times New Roman;Times;Serif" w:hAnsi="Times New Roman;Times;Serif"/>
          <w:b w:val="false"/>
          <w:i/>
          <w:caps w:val="false"/>
          <w:smallCaps w:val="false"/>
          <w:sz w:val="20"/>
        </w:rPr>
        <w:t>Instructions</w:t>
      </w:r>
      <w:r>
        <w:rPr>
          <w:rFonts w:ascii="Times New Roman;Times;Serif" w:hAnsi="Times New Roman;Times;Serif"/>
          <w:b w:val="false"/>
          <w:i w:val="false"/>
          <w:caps w:val="false"/>
          <w:smallCaps w:val="false"/>
          <w:sz w:val="20"/>
        </w:rPr>
        <w:t>”) given pursuant to this Indenture and related Security Documents and delivered using Electronic Means; provided, however, that the Issuers shall provide to the Trustee an incumbency certificate listing persons with the authority to provide such Instructions (“</w:t>
      </w:r>
      <w:r>
        <w:rPr>
          <w:rFonts w:ascii="Times New Roman;Times;Serif" w:hAnsi="Times New Roman;Times;Serif"/>
          <w:b w:val="false"/>
          <w:i/>
          <w:caps w:val="false"/>
          <w:smallCaps w:val="false"/>
          <w:sz w:val="20"/>
        </w:rPr>
        <w:t>Authorized Persons</w:t>
      </w:r>
      <w:r>
        <w:rPr>
          <w:rFonts w:ascii="Times New Roman;Times;Serif" w:hAnsi="Times New Roman;Times;Serif"/>
          <w:b w:val="false"/>
          <w:i w:val="false"/>
          <w:caps w:val="false"/>
          <w:smallCaps w:val="false"/>
          <w:sz w:val="20"/>
        </w:rPr>
        <w:t>”) and containing specimen signatures of such Authorized Persons, which incumbency certificate shall be amended by the Issuers whenever a person is to be added or deleted from the listing. If the Issuers elect to give the Trustee Instructions using Electronic Means and the Trustee in its discretion elects to act upon such Instructions, the Trustee’s understanding of such Instructions shall be deemed controlling. The Issuers understand and agree that the Trustee cannot determine the identity of the actual sender of such Instructions and that the Trustee shall conclusively presume that directions that purport to have been sent by the Authorized Persons listed on the incumbency certificate provided to the Trustee have been sent by such Authorized Persons. The Issuers shall be responsible for ensuring that only an Authorized Person transmit such Instructions to the Trustee and that the Issuers and all Authorized Persons are solely responsible to safeguard the use and confidentiality of applicable user and authorization codes, passwords and/or authentication keys upon receipt by the Issuers. The Trustee shall not be liable for any losses, costs or expenses arising directly or indirectly from the Trustee’s reliance upon and compliance with such Instructions notwithstanding such directions conflict or are inconsistent with a subsequent written instruction. The Issuers agree: (i) to assume all risks arising out of the use of Electronic Means to submit Instructions to the Trustee, including without limitation the risk of the Trustee acting on unauthorized Instructions, and the risk of interception and misuse by third parties and (ii) that it is fully informed of the protections and risks associated with the various methods of transmitting Instructions to the Trustee and that there may be more secure methods of transmitting Instructions than the method(s) selected by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12.13 of the Base Indenture is hereby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12.13         Table of Contents, Headings, etc.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Supplemental Indenture and the Base Indenture have been inserted for convenience of reference only, are not to be considered a part of this Supplemental Indenture or the Base Indenture and shall in no way modify or restrict any of the terms or provisions. Unless otherwise expressly specified, references in this Supplemental Indenture to specific Articles, Sections or clauses refer to Articles, Sections and clauses contained in this Supplemental Indenture, unless such Article, Section or clause is incorporated herein by reference to the Base Indenture or no such Article, Section or clause appears in this Supplemental Indenture, in which case such references refer to the applicable section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Sections 12.16 and 12.17 are hereby added to Article 12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12.16         Supplemental Indenture Controls.</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this Supplemental Indenture conflicts with any provision of the Base Indenture, the provisions of this Supplemental Indenture shall govern and be controlling, solely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12.17         Submission to Jurisdiction.</w:t>
      </w:r>
    </w:p>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irrevocably submit to the non-exclusive jurisdiction of any New York State or federal court sitting in the Borough of Manhattan, City of New York, over any suit, action or proceeding arising out of or relating to this Supplemental Indenture. To the fullest extent permitted by applicable law, the parties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13</w:t>
      </w:r>
      <w:r>
        <w:rPr>
          <w:rFonts w:ascii="Times New Roman;Times;Serif" w:hAnsi="Times New Roman;Times;Serif"/>
          <w:b/>
          <w:i w:val="false"/>
          <w:caps w:val="false"/>
          <w:smallCaps w:val="false"/>
          <w:sz w:val="20"/>
        </w:rPr>
        <w:br/>
        <w:b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13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are hereby added as Sections 13.03 and 13.04 to Article 13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Satisfaction and Discharge of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shall cease to be of further effect with respect to a series of Notes (except as to any surviving rights of registration of transfer or exchange of Notes herein expressly provided for), and the Trustee, on demand of and at the expense of the Issuers, shall execute proper instruments acknowledging satisfaction and discharge of this Supplemental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of such series theretofore authenticated and delivered (other than (i) Notes which have been destroyed, lost or stolen and which have been replaced or paid as provided in Section 2.07 and (ii) Notes for whose payment money has theretofore been deposited in trust or segregated and held in trust by the Issuers and thereafter repaid to the Issuers or discharged from such trust) have been delivered to the Trustee for cancellation;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Notes of such series not theretofore delivered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firstLine="10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Issuers,</w:t>
      </w:r>
    </w:p>
    <w:p>
      <w:pPr>
        <w:pStyle w:val="TextBody"/>
        <w:bidi w:val="0"/>
        <w:spacing w:before="0" w:after="0"/>
        <w:ind w:left="720" w:right="0" w:firstLine="1008"/>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Issuers, in the case of (i), (ii) or (iii) above, has deposited or caused to be deposited with the Trustee as trust funds in trust for the purpose an amount sufficient to pay and discharge the entire indebtedness on such Notes not theretofore delivered to the Trustee for cancellation, for principal (and premium, if any) and interest to the date of such deposit (in the case of Notes which have become due and payable) or to the maturity or redemption thereof, as the case may be;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Issuers have paid or caused to be paid all other sums payable hereunder by the Issuers with respect to such series of Notes;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Issuers have delivered to the Trustee an Officers’ Certificate and an Opinion of Counsel, each stating that all conditions precedent herein provided for relating to the satisfaction and discharge of this Supplemental Indenture have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Supplemental Indenture pursuant to this Article 13, the obligations of the Issuers to the Trustee under Section 7.07 of the Base Indenture, and, if money shall have been deposited with the Trustee pursuant to subclause (b) of clause (1) of this Section 13.03, the obligations of the Trustee under Section 13.04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Application of Trust Money.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deposited with the Trustee pursuant to Section 13.03 shall be held in trust and applied by it, in accordance with the provisions of the Notes and this Supplemental Indenture, to the payment, either directly or through any Paying Agent as the Trustee may determine, to the Persons entitled thereto, of the principal (and premium, if any) and interest for whose payment such money has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14</w:t>
      </w:r>
      <w:r>
        <w:rPr>
          <w:rFonts w:ascii="Times New Roman;Times;Serif" w:hAnsi="Times New Roman;Times;Serif"/>
          <w:b/>
          <w:i w:val="false"/>
          <w:caps w:val="false"/>
          <w:smallCaps w:val="false"/>
          <w:sz w:val="20"/>
        </w:rPr>
        <w:br/>
        <w:br/>
        <w:t>COLLATERAL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Issuers hereby agree to expressly subject themselves to the provisions of Article 14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Section 14.03(4) of the Base Indenture is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 to any property or asset constituting Collateral that is sold or otherwise disposed of by the Issuers or any Note Guarantor, directly or indirectly, in a transaction not prohibited by this Indenture at the time of such sale or disposition;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SECURITY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only, the following is hereby added to the end of Section 2.1 to Exhibit F of the Base Indenture as a new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granted to the Notes shall be the same as and no greater than the collateral granted to the Existing Secured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12, 2026</w:t>
      </w:r>
    </w:p>
    <w:p>
      <w:pPr>
        <w:pStyle w:val="TextBody"/>
        <w:bidi w:val="0"/>
        <w:spacing w:before="0" w:after="0"/>
        <w:ind w:left="0" w:right="0" w:hanging="0"/>
        <w:jc w:val="left"/>
        <w:rPr>
          <w:caps w:val="false"/>
          <w:smallCaps w:val="false"/>
        </w:rPr>
      </w:pPr>
      <w:r>
        <w:rPr>
          <w:caps w:val="false"/>
          <w:smallCaps w:val="false"/>
        </w:rPr>
        <w:t> </w:t>
      </w:r>
    </w:p>
    <w:tbl>
      <w:tblPr>
        <w:tblW w:w="7914" w:type="dxa"/>
        <w:jc w:val="left"/>
        <w:tblInd w:w="0" w:type="dxa"/>
        <w:tblLayout w:type="fixed"/>
        <w:tblCellMar>
          <w:top w:w="0" w:type="dxa"/>
          <w:left w:w="0" w:type="dxa"/>
          <w:bottom w:w="0" w:type="dxa"/>
          <w:right w:w="0" w:type="dxa"/>
        </w:tblCellMar>
      </w:tblPr>
      <w:tblGrid>
        <w:gridCol w:w="80"/>
        <w:gridCol w:w="492"/>
        <w:gridCol w:w="795"/>
        <w:gridCol w:w="6547"/>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 as an Issuer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734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 as an Issuer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4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NOTE GUARANTORS LISTED ON SCHEDULE I HERETO, as a Note Guarantor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83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734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44" w:type="dxa"/>
        <w:jc w:val="left"/>
        <w:tblInd w:w="0" w:type="dxa"/>
        <w:tblLayout w:type="fixed"/>
        <w:tblCellMar>
          <w:top w:w="0" w:type="dxa"/>
          <w:left w:w="0" w:type="dxa"/>
          <w:bottom w:w="0" w:type="dxa"/>
          <w:right w:w="0" w:type="dxa"/>
        </w:tblCellMar>
      </w:tblPr>
      <w:tblGrid>
        <w:gridCol w:w="80"/>
        <w:gridCol w:w="1086"/>
        <w:gridCol w:w="1756"/>
        <w:gridCol w:w="4122"/>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96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96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87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6" w:type="dxa"/>
            <w:tcBorders/>
            <w:vAlign w:val="center"/>
          </w:tcPr>
          <w:p>
            <w:pPr>
              <w:pStyle w:val="TableContents"/>
              <w:bidi w:val="0"/>
              <w:spacing w:before="0" w:after="283"/>
              <w:jc w:val="left"/>
              <w:rPr>
                <w:caps w:val="false"/>
                <w:smallCaps w:val="false"/>
              </w:rPr>
            </w:pPr>
            <w:r>
              <w:rPr>
                <w:caps w:val="false"/>
                <w:smallCaps w:val="false"/>
              </w:rPr>
              <w:t> </w:t>
            </w:r>
          </w:p>
        </w:tc>
        <w:tc>
          <w:tcPr>
            <w:tcW w:w="1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6" w:type="dxa"/>
            <w:tcBorders/>
            <w:vAlign w:val="center"/>
          </w:tcPr>
          <w:p>
            <w:pPr>
              <w:pStyle w:val="TableContents"/>
              <w:bidi w:val="0"/>
              <w:spacing w:before="0" w:after="283"/>
              <w:jc w:val="left"/>
              <w:rPr>
                <w:caps w:val="false"/>
                <w:smallCaps w:val="false"/>
              </w:rPr>
            </w:pPr>
            <w:r>
              <w:rPr>
                <w:caps w:val="false"/>
                <w:smallCaps w:val="false"/>
              </w:rPr>
              <w:t> </w:t>
            </w:r>
          </w:p>
        </w:tc>
        <w:tc>
          <w:tcPr>
            <w:tcW w:w="1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96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96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Collateral Agent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96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87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Terence Rawlins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6" w:type="dxa"/>
            <w:tcBorders/>
            <w:vAlign w:val="center"/>
          </w:tcPr>
          <w:p>
            <w:pPr>
              <w:pStyle w:val="TableContents"/>
              <w:bidi w:val="0"/>
              <w:spacing w:before="0" w:after="283"/>
              <w:jc w:val="left"/>
              <w:rPr>
                <w:caps w:val="false"/>
                <w:smallCaps w:val="false"/>
              </w:rPr>
            </w:pPr>
            <w:r>
              <w:rPr>
                <w:caps w:val="false"/>
                <w:smallCaps w:val="false"/>
              </w:rPr>
              <w:t> </w:t>
            </w:r>
          </w:p>
        </w:tc>
        <w:tc>
          <w:tcPr>
            <w:tcW w:w="1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Rawlins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86" w:type="dxa"/>
            <w:tcBorders/>
            <w:vAlign w:val="center"/>
          </w:tcPr>
          <w:p>
            <w:pPr>
              <w:pStyle w:val="TableContents"/>
              <w:bidi w:val="0"/>
              <w:spacing w:before="0" w:after="283"/>
              <w:jc w:val="left"/>
              <w:rPr>
                <w:caps w:val="false"/>
                <w:smallCaps w:val="false"/>
              </w:rPr>
            </w:pPr>
            <w:r>
              <w:rPr>
                <w:caps w:val="false"/>
                <w:smallCaps w:val="false"/>
              </w:rPr>
              <w:t> </w:t>
            </w:r>
          </w:p>
        </w:tc>
        <w:tc>
          <w:tcPr>
            <w:tcW w:w="1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4867" w:right="0" w:hanging="547"/>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Supplemental Indenture]</w:t>
      </w:r>
    </w:p>
    <w:p>
      <w:pPr>
        <w:pStyle w:val="TextBody"/>
        <w:bidi w:val="0"/>
        <w:spacing w:before="0" w:after="0"/>
        <w:ind w:left="4867" w:right="0" w:hanging="547"/>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867" w:right="0" w:hanging="547"/>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6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NEW JERSEY)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60" w:after="60"/>
        <w:ind w:left="720" w:right="672" w:hanging="0"/>
        <w:jc w:val="left"/>
        <w:rPr>
          <w:bdr w:val="single" w:sz="8" w:space="1" w:color="000000"/>
        </w:rPr>
      </w:pPr>
      <w:r>
        <w:rPr>
          <w:bdr w:val="single" w:sz="8" w:space="1" w:color="000000"/>
        </w:rPr>
        <w:t> </w:t>
      </w:r>
    </w:p>
    <w:p>
      <w:pPr>
        <w:pStyle w:val="TextBody"/>
        <w:bidi w:val="0"/>
        <w:spacing w:before="0" w:after="0"/>
        <w:ind w:left="720" w:right="6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Global Note Legend, if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0" w:after="0"/>
        <w:ind w:left="720" w:right="6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(OR ITS PREDECESSOR) EVIDENCED HEREBY WAS ORIGINALLY ISSUED IN A TRANSACTION EXEMPT FROM REGISTRATION UNDER SECTION 5 OF THE UNITED STATES SECURITIES ACT OF 1933, AS AMENDED (THE “SECURITIES ACT”), AND THE NOTE EVIDENCED HEREBY MAY NOT BE OFFERED, SOLD OR OTHERWISE TRANSFERRED IN THE ABSENCE OF SUCH REGISTRATION OR AN APPLICABLE EXEMPTION THEREFROM. EACH PURCHASER OF THE NOTES EVIDENCED HEREBY IS HEREBY NOTIFIED THAT THE SELLER MAY BE RELYING ON THE EXEMPTION FROM THE PROVISIONS OF SECTION 5 OF THE SECURITIES ACT PROVIDED BY RULE 144A THEREUNDER. THE HOLDER OF THE NOTES EVIDENCED HEREBY AGREES FOR THE BENEFIT OF THE ISSUERS THAT (A) SUCH SECURITY MAY BE RESOLD, PLEDGED OR OTHERWISE TRANSFERRED ONLY (I) (A) TO A PERSON WHO IS A QUALIFIED INSTITUTIONAL BUYER (AS DEFINED IN RULE 144A UNDER THE SECURITIES ACT) IN A TRANSACTION MEETING THE REQUIREMENTS OF RULE 144A, (B) IN A TRANSACTION MEETING THE REQUIREMENTS OF RULE 144 UNDER THE SECURITIES ACT, (C) OUTSIDE THE UNITED STATES TO A NON-U.S. PERSON IN A TRANSACTION MEETING THE REQUIREMENTS OF RULE 904 UNDER THE SECURITIES ACT, OR (D) IN ACCORDANCE WITH ANOTHER EXEMPTION FROM THE REGISTRATION REQUIREMENTS OF THE SECURITIES ACT (AND BASED UPON AN OPINION OF COUNSEL IF THE ISSUERS SO REQUEST), (II) TO CCO, OR (III)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NOTES EVIDENCED HEREBY OF THE RESALE RESTRICTIONS SET FORTH IN CLAUSE (A) ABOVE. NO REPRESENTATION CAN BE MADE AS TO THE AVAILABILITY OF THE EXEMPTION PROVIDED BY RULE 144 FOR RESALE OF THE NOTE EVIDENCED HEREBY.]</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0" w:after="0"/>
        <w:ind w:left="720" w:right="6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(OR ITS PREDECESSOR) WAS ORIGINALLY ISSUED IN A TRANSACTION ORIGINALLY EXEMPT FROM REGISTRATION UNDER THE U.S.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60" w:after="60"/>
        <w:ind w:left="720" w:right="672" w:hanging="0"/>
        <w:jc w:val="left"/>
        <w:rPr>
          <w:bdr w:val="single" w:sz="8" w:space="1" w:color="000000"/>
        </w:rPr>
      </w:pPr>
      <w:r>
        <w:rPr>
          <w:bdr w:val="single" w:sz="8" w:space="1" w:color="000000"/>
        </w:rPr>
        <w:t> </w:t>
      </w:r>
    </w:p>
    <w:p>
      <w:pPr>
        <w:pStyle w:val="TextBody"/>
        <w:bidi w:val="0"/>
        <w:spacing w:before="0" w:after="0"/>
        <w:ind w:left="720" w:right="6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Private Placement Legend, if applicable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Regulation S Legend, if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672"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2" w:name="S-1"/>
      <w:bookmarkEnd w:id="62"/>
      <w:r>
        <w:rPr>
          <w:rFonts w:ascii="Times New Roman;Times;Serif" w:hAnsi="Times New Roman;Times;Serif"/>
          <w:b w:val="false"/>
          <w:i w:val="false"/>
          <w:caps w:val="false"/>
          <w:smallCaps w:val="false"/>
          <w:sz w:val="20"/>
        </w:rPr>
        <w:t>CUSIP NO. [    ]</w:t>
        <w:br/>
        <w:br/>
        <w:t>7.087% Senior Secured Notes due 2038</w:t>
        <w:br/>
        <w:br/>
        <w:t>No. [   ]</w:t>
        <w:br/>
        <w:br/>
        <w:t>$[                         ]</w:t>
        <w:br/>
        <w:br/>
      </w:r>
      <w:r>
        <w:rPr>
          <w:rFonts w:ascii="Times New Roman;Times;Serif" w:hAnsi="Times New Roman;Times;Serif"/>
          <w:b/>
          <w:i w:val="false"/>
          <w:caps w:val="false"/>
          <w:smallCaps w:val="false"/>
          <w:sz w:val="20"/>
        </w:rPr>
        <w:t>Charter Communications Operating,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Communications Operating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 to pay to [             ] or to registered assigns the principal amount of [             ] DOLLARS on September 1, 2038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March 1 and September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February 15 and August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Issuers have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80"/>
        <w:gridCol w:w="1687"/>
        <w:gridCol w:w="3148"/>
        <w:gridCol w:w="523"/>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439" w:type="dxa"/>
        <w:jc w:val="left"/>
        <w:tblInd w:w="0" w:type="dxa"/>
        <w:tblLayout w:type="fixed"/>
        <w:tblCellMar>
          <w:top w:w="0" w:type="dxa"/>
          <w:left w:w="0" w:type="dxa"/>
          <w:bottom w:w="0" w:type="dxa"/>
          <w:right w:w="0" w:type="dxa"/>
        </w:tblCellMar>
      </w:tblPr>
      <w:tblGrid>
        <w:gridCol w:w="850"/>
        <w:gridCol w:w="4509"/>
        <w:gridCol w:w="80"/>
      </w:tblGrid>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4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7.087% Senior Secured Notes due 2038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7.087% Senior Secured Notes due 2038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Issuers promise to pay interest on the principal amount of this Note at the rate of 7.087% per annum from the Issue Date until maturity, subject to increase pursuant to the provisions of the Registration Rights Agreement. The Issuers will pay interest semi-annually in arrears on March 1 and September 1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the date of issuance;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March 1, 2027. The Issuers shall pay interest (including post-petition interest in any proceeding under the Bankruptcy Code) on overdue principal and premium, if any, from time to time on demand at a rate that is 1.00% per annum in excess of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Issuers shall pay interest on the Notes (except defaulted interest) to the Persons who are registered Holders at the close of business on February 15 and August 15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Issuers maintained for such purpose within or without the City and State of New York, or, at the option of the Issuers, payment of interest may be made by check mailed to the Holders at their addresses set forth in the register of Holders,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The Bank of New York Mellon Trust Company, N.A., the Trustee under the Supplemental Indenture, will act as Paying Agent and Registrar. The Issuers may change any Paying Agent or Registrar without notice to any Holder. The Company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Issuers issued the Notes under an Indenture dated as of July 23, 2015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CCO Safari II, LLC, Charter Communications Operating, LLC, Charter Communications Operating Capital Corp. and The Bank of New York Mellon Trust Company, N.A., as Trustee and Collateral Agent, as supplemented by the Twenty-Seventh Supplemental Indenture dated as of August 12,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Charter Communications Operating, LLC, Charter Communications Operating Capital Corp., the guarantors party thereto and The Bank of New York Mellon Trust Company, N.A., as Trustee and Collateral Agent. The terms of the Notes include those stated in the Supplemental Indenture and those made part of the Supplemental Indenture by reference to the Trust Indenture Act of 1939, as amended (15 U.S. Code §§ 77aaa-77bbbb). The Notes are subject to all such terms, and Holders are referred to the Supplemental Indenture and such Act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paragraph 5(b) below, the Issuers shall not have the option to redeem the Notes pursuant to this paragraph 5 prior to June 1, 2038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 On or after the Par Call Date, the Issuers may redeem the Notes, in whole or in part, at the Issuers’ option, on at least 10 days’ but not more than 60 days’ prior mailed or electronically delivered (or otherwise transmitted in accordance with DTC’s procedures) notice to the Holders thereof, at a redemption price equal to 100% of the principal amount of the Notes to be redeemed plus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and from time to time prior to the Par Call Date, the Issuers may redeem outstanding Notes, in whole or in part, at the Issuers’ option, at any time or from time to time, on at least 10 days’ but not more than 60 days’ prior mailed or electronically delivered (or otherwise transmitted in accordance with DTC’s procedures) notice to the Holders thereof, at a redemption price expressed as a percentage of principal amount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40 basis points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unpaid interest accrued to the date of redemption,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 of the principal amount of the notes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in either case, accrued and unpaid interest on the principal amount being redeemed to, but not including, the redemption date (subject to the rights of Holders of the Notes of such series on a record date to receive the related interest payment on the related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 The Issuers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Issuers may require a Holder to pay any taxes and fees required by law or permitted by the Supplemental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Issuers, the Trustee and the Collateral Agent may amend or supplement the Supplemental Indenture, the Intercreditor Agreement, any Note Guarantee, any Security Document, or the Notes (i) to cure any ambiguity, omission, mistake, defect or inconsistency, (ii) to provide for the assumption by a successor Person of the obligations of the Issuers or any Note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add Guarantees with respect to the Notes or to add additional Collateral to secure the Notes and the Note Guarantees, (v) to add to the covenants of the Issuers or any Note Guarantor for the benefit of the Holders of the Notes or to surrender any right or power conferred upon the Issuers or any Note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 when permitted or required by the Security Documents, the Supplemental Indenture or the Intercreditor Agreement, (x) to evidence and provide for the acceptance and appointment under the Supplemental Indenture of a successor Trustee or Collateral Agent thereunder pursuant to the requirements thereof, (xi) to release a Note Guarantor pursuant to the terms of Article 10 of the Indenture, (xii) to make any amendment to the provisions of the Indenture or the Notes to eliminate the effect of any Accounting Change or in the application thereof as described in the last paragraph of the definition of “GAAP” or (xiii) to provide for or confirm the issuance of Additional Notes or the Exchange Notes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Issuers or any Note Guarantor to comply for 90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default under this clause (iii) will not constitute an Event of Default with respect to the Notes until the Trustee or the Holders of 30% in principal amount of the outstanding Notes notify the Issuers of the default and the Issuers do not cure such default within the time specified after receipt of such notice,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notice of default may not be given with respect to any action taken, and reported publicly or to Holders, more than two years prior to such notice of default, (iv) (I) the Issuers or any Subsidiary Guarantor that is a Significant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Issuers or a Subsidiary Guarantor that is a Significant Subsidiary in an involuntary case; (b) appoints a custodian of the Issuers or a Subsidiary Guarantor that is a Significant Subsidiary or for all or substantially all of the property of the Issuers or a Subsidiary Guarantor that is a Significant Subsidiary; or (c) orders the liquidation of the Issuers or a Subsidiary Guarantor that is a Significant Subsidiary, and the order or decree remains unstayed and in effect for 60 consecutive days; (v)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the Indenture) or any Note Guarantor denies or disaffirms its obligations in writing under its Note Guarantee; and (vi) a material portion of the Collateral ceases to be subject to the Liens of the Security Documents (other than in accordance with the terms of the Indenture and the Security Documents) or any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(vi) above with respect to CCO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by notice to the Issuers or the Holders of at least 30% in principal amount of the then outstanding Notes by notice to the Issuers and the Trustee may declare the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Issuers determine in good faith that there is a reasonable basis to believe a Directing Holder was, at any relevant time, in breach of its Position Representation and provide to the Trustee evidence that the Issuers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Issuers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ISSUERS. The Trustee, in its individual or any other capacity, may make loans to, accept deposits from, and perform services for any Issuer or its Affiliates, and may otherwise deal with any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member or stockholder of the Issuers, as such, shall not have any liability for any obligations of the Issuers under the Notes or the Supplemental Indenture or for any claim based on, in respect of, or by reason of, such obligations or their creation. Each Holder by accepting a Note waives and releases all such liability. The waiver and release are part of the consideration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ADDITIONAL RIGHTS OF HOLDERS OF RESTRICTED GLOBAL NOTES AND RESTRICTED DEFINITIVE NOTES. In addition to the rights provided to Holders of Notes under the Supplemental Indenture, Holders of Restricted Global Notes and Restricted Definitive Notes shall have all the rights set forth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CUSIP NUMBERS.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will furnish to any Holder upon written request and without charge a copy of the Supplemental Indenture, the Base Indenture and/or the Registration Rights Agreement, as applicable. Requests may be made to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Charter Communications, Inc.</w:t>
        <w:br/>
        <w:t>400 Washington Boulevard</w:t>
        <w:br/>
        <w:t>Stamford, Connecticut 06902</w:t>
        <w:br/>
        <w:t>Attention: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4010"/>
        <w:gridCol w:w="65"/>
      </w:tblGrid>
      <w:tr>
        <w:trPr/>
        <w:tc>
          <w:tcPr>
            <w:tcW w:w="4010" w:type="dxa"/>
            <w:tcBorders/>
            <w:vAlign w:val="center"/>
          </w:tcPr>
          <w:p>
            <w:pPr>
              <w:pStyle w:val="TableContents"/>
              <w:bidi w:val="0"/>
              <w:spacing w:before="0" w:after="283"/>
              <w:jc w:val="left"/>
              <w:rPr/>
            </w:pPr>
            <w:r>
              <w:rPr/>
              <w:t>(i) or (we) assign and transfer this Note to:</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 to transfer this Note on the books of the Issuers.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1475"/>
        <w:gridCol w:w="65"/>
        <w:gridCol w:w="1460"/>
        <w:gridCol w:w="65"/>
        <w:gridCol w:w="1460"/>
        <w:gridCol w:w="65"/>
        <w:gridCol w:w="1505"/>
        <w:gridCol w:w="65"/>
        <w:gridCol w:w="1520"/>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Principal Amount</w:t>
              <w:br/>
              <w:t>of this Global</w:t>
              <w:br/>
              <w:t>Note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Principal Amount</w:t>
              <w:br/>
              <w:t xml:space="preserve">of this Global </w:t>
              <w:br/>
              <w:t>Note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Note following</w:t>
              <w:br/>
              <w:t xml:space="preserve">such decrease (or </w:t>
              <w:br/>
              <w:t>increase)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of Trustee or</w:t>
              <w:br/>
              <w:t>Note Custodian</w:t>
            </w:r>
          </w:p>
        </w:tc>
      </w:tr>
      <w:tr>
        <w:trPr/>
        <w:tc>
          <w:tcPr>
            <w:tcW w:w="14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6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NEW JERSEY)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60" w:after="60"/>
        <w:ind w:left="720" w:right="672" w:hanging="0"/>
        <w:jc w:val="left"/>
        <w:rPr>
          <w:bdr w:val="single" w:sz="8" w:space="1" w:color="000000"/>
        </w:rPr>
      </w:pPr>
      <w:r>
        <w:rPr>
          <w:bdr w:val="single" w:sz="8" w:space="1" w:color="000000"/>
        </w:rPr>
        <w:t> </w:t>
      </w:r>
    </w:p>
    <w:p>
      <w:pPr>
        <w:pStyle w:val="TextBody"/>
        <w:bidi w:val="0"/>
        <w:spacing w:before="0" w:after="0"/>
        <w:ind w:left="720" w:right="6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Global Note Legend, if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0" w:after="0"/>
        <w:ind w:left="720" w:right="6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(OR ITS PREDECESSOR) EVIDENCED HEREBY WAS ORIGINALLY ISSUED IN A TRANSACTION EXEMPT FROM REGISTRATION UNDER SECTION 5 OF THE UNITED STATES SECURITIES ACT OF 1933, AS AMENDED (THE “SECURITIES ACT”), AND THE NOTE EVIDENCED HEREBY MAY NOT BE OFFERED, SOLD OR OTHERWISE TRANSFERRED IN THE ABSENCE OF SUCH REGISTRATION OR AN APPLICABLE EXEMPTION THEREFROM. EACH PURCHASER OF THE NOTES EVIDENCED HEREBY IS HEREBY NOTIFIED THAT THE SELLER MAY BE RELYING ON THE EXEMPTION FROM THE PROVISIONS OF SECTION 5 OF THE SECURITIES ACT PROVIDED BY RULE 144A THEREUNDER. THE HOLDER OF THE NOTES EVIDENCED HEREBY AGREES FOR THE BENEFIT OF THE ISSUERS THAT (A) SUCH SECURITY MAY BE RESOLD, PLEDGED OR OTHERWISE TRANSFERRED ONLY (I) (A) TO A PERSON WHO IS A QUALIFIED INSTITUTIONAL BUYER (AS DEFINED IN RULE 144A UNDER THE SECURITIES ACT) IN A TRANSACTION MEETING THE REQUIREMENTS OF RULE 144A, (B) IN A TRANSACTION MEETING THE REQUIREMENTS OF RULE 144 UNDER THE SECURITIES ACT, (C) OUTSIDE THE UNITED STATES TO A NON-U.S. PERSON IN A TRANSACTION MEETING THE REQUIREMENTS OF RULE 904 UNDER THE SECURITIES ACT, OR (D) IN ACCORDANCE WITH ANOTHER EXEMPTION FROM THE REGISTRATION REQUIREMENTS OF THE SECURITIES ACT (AND BASED UPON AN OPINION OF COUNSEL IF THE ISSUERS SO REQUEST), (II) TO CCO, OR (III)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NOTES EVIDENCED HEREBY OF THE RESALE RESTRICTIONS SET FORTH IN CLAUSE (A) ABOVE. NO REPRESENTATION CAN BE MADE AS TO THE AVAILABILITY OF THE EXEMPTION PROVIDED BY RULE 144 FOR RESALE OF THE NOTE EVIDENCED HEREBY.]</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720" w:right="672" w:hanging="0"/>
        <w:jc w:val="both"/>
        <w:rPr>
          <w:caps w:val="false"/>
          <w:smallCaps w:val="false"/>
        </w:rPr>
      </w:pPr>
      <w:r>
        <w:rPr>
          <w:caps w:val="false"/>
          <w:smallCaps w:val="false"/>
        </w:rPr>
        <w:t> </w:t>
      </w:r>
    </w:p>
    <w:p>
      <w:pPr>
        <w:pStyle w:val="TextBody"/>
        <w:bidi w:val="0"/>
        <w:spacing w:before="0" w:after="0"/>
        <w:ind w:left="720" w:right="6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(OR ITS PREDECESSOR) WAS ORIGINALLY ISSUED IN A TRANSACTION ORIGINALLY EXEMPT FROM REGISTRATION UNDER THE U.S.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Private Placement Legend, if applicable.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Regulation S Legend,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672"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3" w:name="S-2"/>
      <w:bookmarkEnd w:id="63"/>
      <w:r>
        <w:rPr>
          <w:rFonts w:ascii="Times New Roman;Times;Serif" w:hAnsi="Times New Roman;Times;Serif"/>
          <w:b w:val="false"/>
          <w:i w:val="false"/>
          <w:caps w:val="false"/>
          <w:smallCaps w:val="false"/>
          <w:sz w:val="20"/>
        </w:rPr>
        <w:t>7.337% Senior Secured Notes due 2041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Communications Operating,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Communications Operating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promise to pay to [            ] or to registered assigns the principal amount of [            ] DOLLARS on September 1, 2041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March 1 and September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February 15 and August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Restrictions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Issuers have caused this instrument to be duly executed.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80"/>
        <w:gridCol w:w="1687"/>
        <w:gridCol w:w="3148"/>
        <w:gridCol w:w="523"/>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35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caps w:val="false"/>
                <w:smallCaps w:val="false"/>
              </w:rPr>
            </w:pPr>
            <w:r>
              <w:rPr>
                <w:caps w:val="false"/>
                <w:smallCaps w:val="false"/>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687" w:type="dxa"/>
            <w:tcBorders/>
            <w:vAlign w:val="center"/>
          </w:tcPr>
          <w:p>
            <w:pPr>
              <w:pStyle w:val="TableContents"/>
              <w:bidi w:val="0"/>
              <w:spacing w:before="0" w:after="283"/>
              <w:jc w:val="left"/>
              <w:rPr>
                <w:caps w:val="false"/>
                <w:smallCaps w:val="false"/>
              </w:rPr>
            </w:pPr>
            <w:r>
              <w:rPr>
                <w:caps w:val="false"/>
                <w:smallCaps w:val="false"/>
              </w:rPr>
              <w:t> </w:t>
            </w:r>
          </w:p>
        </w:tc>
        <w:tc>
          <w:tcPr>
            <w:tcW w:w="3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439" w:type="dxa"/>
        <w:jc w:val="left"/>
        <w:tblInd w:w="0" w:type="dxa"/>
        <w:tblLayout w:type="fixed"/>
        <w:tblCellMar>
          <w:top w:w="0" w:type="dxa"/>
          <w:left w:w="0" w:type="dxa"/>
          <w:bottom w:w="0" w:type="dxa"/>
          <w:right w:w="0" w:type="dxa"/>
        </w:tblCellMar>
      </w:tblPr>
      <w:tblGrid>
        <w:gridCol w:w="850"/>
        <w:gridCol w:w="4509"/>
        <w:gridCol w:w="80"/>
      </w:tblGrid>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within-mentioned Supplemental Indenture: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0" w:type="dxa"/>
            <w:tcBorders/>
            <w:vAlign w:val="center"/>
          </w:tcPr>
          <w:p>
            <w:pPr>
              <w:pStyle w:val="TableContents"/>
              <w:bidi w:val="0"/>
              <w:spacing w:before="0" w:after="283"/>
              <w:jc w:val="left"/>
              <w:rPr>
                <w:caps w:val="false"/>
                <w:smallCaps w:val="false"/>
              </w:rPr>
            </w:pPr>
            <w:r>
              <w:rPr>
                <w:caps w:val="false"/>
                <w:smallCaps w:val="false"/>
              </w:rPr>
              <w:t> </w:t>
            </w:r>
          </w:p>
        </w:tc>
        <w:tc>
          <w:tcPr>
            <w:tcW w:w="4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7.337% Senior Secured Notes due 2041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Supplemental Indenture referred to below unless otherwise indicated. For the purposes of this Note, “Notes” shall refer to the 7.337% Senior Secured Notes due 2041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The Issuers promise to pay interest on the principal amount of this Note at the rate of 7.337% per annum from the Issue Date until maturity, subject to increase pursuant to the provisions of the Registration Rights Agreement. The Issuers will pay interest semi-annually in arrears on March 1 and September 1 of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or if any such day is not a Business Day, on the next succeeding Business Day. Interest on the Notes will accrue from the most recent date to which interest has been paid or, if no interest has been paid, from the date of issuance;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there is no existing Default in the payment of interest, and if this Note is authenticated between a record date referred to on the face and the next succeeding Interest Payment Date, interest shall accrue from such next succeeding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first Interest Payment Date shall be March 1, 2027. The Issuers shall pay interest (including post-petition interest in any proceeding under the Bankruptcy Code) on overdue principal and premium, if any, from time to time on demand at a rate that is 1.00% per annum in excess of the rate then in effect; they shall pay interest (including post-petition interest in any proceeding under the Bankruptcy Code) on overdue installments of interest (without regard to any applicable grace periods) from time to time on demand at the same rate to the extent lawful. Interest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METHOD OF PAYMENT. The Issuers shall pay interest on the Notes (except defaulted interest) to the Persons who are registered Holders at the close of business on February 15 and August 15 next preceding the Interest Payment Date, even if such Notes are canceled after such record date and on or before such Interest Payment Date, except as provided in Section 2.12 of the Supplemental Indenture with respect to defaulted interest. The Notes will be payable as to principal, premium, if any, and interest at the office or agency of the Issuers maintained for such purpose within or without the City and State of New York, or, at the option of the Issuers, payment of interest may be made by check mailed to the Holders at their addresses set forth in the register of Holders,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will be required with respect to principal of and interest and premium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 AND REGISTRAR. Initially, The Bank of New York Mellon Trust Company, N.A., the Trustee under the Supplemental Indenture, will act as Paying Agent and Registrar. The Issuers may change any Paying Agent or Registrar without notice to any Holder. The Company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 The Issuers issued the Notes under an Indenture dated as of July 23, 2015 (the “</w:t>
      </w:r>
      <w:r>
        <w:rPr>
          <w:rFonts w:ascii="Times New Roman;Times;Serif" w:hAnsi="Times New Roman;Times;Serif"/>
          <w:b w:val="false"/>
          <w:i/>
          <w:caps w:val="false"/>
          <w:smallCaps w:val="false"/>
          <w:sz w:val="20"/>
        </w:rPr>
        <w:t>Base Indenture</w:t>
      </w:r>
      <w:r>
        <w:rPr>
          <w:rFonts w:ascii="Times New Roman;Times;Serif" w:hAnsi="Times New Roman;Times;Serif"/>
          <w:b w:val="false"/>
          <w:i w:val="false"/>
          <w:caps w:val="false"/>
          <w:smallCaps w:val="false"/>
          <w:sz w:val="20"/>
        </w:rPr>
        <w:t>”), among CCO Safari II, LLC, Charter Communications Operating, LLC, Charter Communications Operating Capital Corp. and The Bank of New York Mellon Trust Company, N.A., as Trustee and Collateral Agent, as supplemented by the Twenty-Seventh Supplemental Indenture dated as of August 12, 2026 (the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among Charter Communications Operating, LLC, Charter Communications Operating Capital Corp., the guarantors party thereto and The Bank of New York Mellon Trust Company, N.A., as Trustee and Collateral Agent. The terms of the Notes include those stated in the Supplemental Indenture and those made part of the Supplemental Indenture by reference to the Trust Indenture Act of 1939, as amended (15 U.S. Code §§ 77aaa-77bbbb). The Notes are subject to all such terms, and Holders are referred to the Supplemental Indenture and such Act for a statement of such terms. To the extent any provision of this Note conflicts with the express provisions of the Supplemental Indenture, the provisions of the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paragraph 5(b) below, the Issuers shall not have the option to redeem the Notes pursuant to this paragraph 5 prior to June 1, 2041 (the “</w:t>
      </w:r>
      <w:r>
        <w:rPr>
          <w:rFonts w:ascii="Times New Roman;Times;Serif" w:hAnsi="Times New Roman;Times;Serif"/>
          <w:b w:val="false"/>
          <w:i/>
          <w:caps w:val="false"/>
          <w:smallCaps w:val="false"/>
          <w:sz w:val="20"/>
        </w:rPr>
        <w:t>Par Call Date</w:t>
      </w:r>
      <w:r>
        <w:rPr>
          <w:rFonts w:ascii="Times New Roman;Times;Serif" w:hAnsi="Times New Roman;Times;Serif"/>
          <w:b w:val="false"/>
          <w:i w:val="false"/>
          <w:caps w:val="false"/>
          <w:smallCaps w:val="false"/>
          <w:sz w:val="20"/>
        </w:rPr>
        <w:t xml:space="preserve">”). On or after the Par Call Date, the Issuers may redeem the Notes, in whole or in part, at the Issuers’ option, on at least 10 days’ but not more than 60 days’ prior mailed or electronically delivered (or otherwise transmitted in accordance with DTC’s procedures) notice to the Holders thereof, at a redemption price equal to 100% of the principal amount of the Notes to be redeemed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on the principal amount being redeemed to, but not including, the redemption date (subject to the rights of Holders of Notes on a record date to receive the related interest payment on the related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and from time to time prior to the Par Call Date, the Issuers may redeem outstanding Notes, in whole or in part, at the Issuers’ option, at any time or from time to time, on at least 10 days’ but not more than 60 days’ prior mailed or electronically delivered (or otherwise transmitted in accordance with DTC’s procedures) notice to the Holders thereof, at a redemption price expressed as a percentage of principal amount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applicable Treasury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45 basis points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unpaid interest accrued to the date of redemption,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 of the principal amount of the notes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in either case, accrued and unpaid interest on the principal amount being redeemed to, but not including, the redemption date (subject to the rights of Holders of the Notes of such series on a record date to receive the related interest payment on the related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MANDATORY REDEMPTION. The Issuers shall not be required to make mandatory redemption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DENOMINATIONS, TRANSFER, EXCHANGE. The Notes are in registered form without coupons in denominations of $2,000 and integral multiples of $1,000 in excess thereof. The transfer of Notes may be registered and Notes may be exchanged as provided in the Supplemental Indenture. The Registrar and the Trustee may require a Holder, among other things, to furnish appropriate endorsements and transfer documents, and the Issuers may require a Holder to pay any taxes and fees required by law or permitted by the Supplemental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PERSONS DEEMED OWNERS. The registered Holder of a Note may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AMENDMENT, SUPPLEMENT AND WAIVER. Subject to certain exceptions, the Supplemental Indenture, the Intercreditor Agreement, any Note Guarantee, the Security Documents or the Notes may be amended or supplemented with the consent of the Holders of at least a majority in aggregate principal amount of the then outstanding Notes (including, without limitation, consents obtained in connection with a purchase of, or tender offer or exchange offer for, Notes). Subject to certain exceptions, any existing Default or compliance with any provision of the Supplemental Indenture or the Notes may be waived, including by way of amendment, with the consent of the Holders of a majority in aggregate principal amount of the then outstanding Notes (including, without limitation, consents obtained in connection with a purchase of, or tender offer or exchange offer for, Notes). Without the consent of any Holder of a Note, the Issuers, the Trustee and the Collateral Agent may amend or supplement the Supplemental Indenture, the Intercreditor Agreement, any Note Guarantee, any Security Document, or the Notes (i) to cure any ambiguity, omission, mistake, defect or inconsistency, (ii) to provide for the assumption by a successor Person of the obligations of the Issuers or any Note Guarantor under the Supplemental Indenture or the Security Documents, (iii) to provide for uncertificated Notes in addition to or in place of certificated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uncertificated Notes are issued in registered form for purposes of Section 163(f) of the Code, or in a manner such that the uncertificated Notes are described in Section 163(f)(2)(B) of the Code), (iv) to add Guarantees with respect to the Notes or to add additional Collateral to secure the Notes and the Note Guarantees, (v) to add to the covenants of the Issuers or any Note Guarantor for the benefit of the Holders of the Notes or to surrender any right or power conferred upon the Issuers or any Note Guarantor, (vi) to make any change that would provide any additional rights or benefits to Holders or that does not adversely affect the legal rights under this Supplemental Indenture of any such Holder, (vii) to conform the text of the Supplemental Indenture, the Notes, any Note Guarantee, the Intercreditor Agreement or any Security Document to any provision under the heading “Description of Notes” in the Offering Memorandum, (viii) to make any amendment to the provisions of the Supplemental Indenture relating to the transfer and legending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compliance with the Indenture as so amended would not result in notes being transferred in violation of the Securities Act or any other applicable securities law and (b) such amendment does not materially and adversely affect the rights of Holders to transfer Notes; (ix) to release Collateral from the Lien under the Security Document when permitted or required by the Security Documents, the Supplemental Indenture or the Intercreditor Agreement, (x) to evidence and provide for the acceptance and appointment under the Supplemental Indenture of a successor Trustee or Collateral Agent thereunder pursuant to the requirements thereof, (xi) to release a Note Guarantor pursuant to the terms of Article 10 of the Indenture, (xii) to make any amendment to the provisions of the Indenture or the Notes to eliminate the effect of any Accounting Change or in the application thereof as described in the last paragraph of the definition of “GAAP” or (xiii) to provide for or confirm the issuance of Additional Notes or the Exchange Notes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DEFAULTS AND REMEDIES. Each of the following is an Event of Default: (i) default in the payment of interest on the Notes when due, continued for 30 consecutive days on the Notes, (ii) default in payment of principal of any Note when due at maturity, upon optional redemption, upon required purchase, upon declaration of acceleration or otherwise, (iii) the failure by the Issuers or any Note Guarantor to comply for 90 days after notice with its covenants or other agreements (other than those described in the immediately preceding clauses (i) and (ii)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default under this clause (iii) will not constitute an Event of Default with respect to the Notes until the Trustee or the Holders of 30% in principal amount of the outstanding Notes notify the Issuers of the default and the Issuers do not cure such default within the time specified after receipt of such notice,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 notice of default may not be given with respect to any action taken, and reported publicly or to Holders, more than two years prior to such notice of default, (iv) (I) the Issuers or any Subsidiary Guarantor that is a Significant Subsidiary pursuant to or within the meaning of the Bankruptcy Code: (a) commences a voluntary case, (b) consents to the entry of an order for relief against it in an involuntary case, (c) consents to the appointment of a custodian of it or for all or substantially all of its property, or (d) makes a general assignment for the benefit of its creditors; or (II) a court of competent jurisdiction enters an order or decree under the Bankruptcy Code that (a) is for relief against the Issuers or a Subsidiary Guarantor that is a Significant Subsidiary in an involuntary case; (b) appoints a custodian of the Issuers or a Subsidiary Guarantor that is a Significant Subsidiary or for all or substantially all of the property of the Issuers or a Subsidiary Guarantor that is a Significant Subsidiary; or (c) orders the liquidation of the Issuers or a Subsidiary Guarantor that is a Significant Subsidiary, and the order or decree remains unstayed and in effect for 60 consecutive days; (v) any Note Guarantee of any Subsidiary Guarantor that is a Significant Subsidiary (or Note Guarantees of any group of Subsidiary Guarantors that, taken together, would constitute a Significant Subsidiary) ceases to be in full force and effect (other than in accordance with the terms of such Note Guarantee and/or the Indenture) or any Note Guarantor denies or disaffirms its obligations in writing under its Note Guarantee; and (vi) a material portion of the Collateral ceases to be subject to the Liens of the Security Documents (other than in accordance with the terms of the Indenture and the Security Documents) or any Issuer or Subsidiary Guarantor denies or disaffirms its obligations in writing under the Security Documents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arising from (vi) above with respect to CCO occurs and is continuing the principal of and accrued but unpaid interest on all outstanding Notes shall ipso facto become due and payable without any declaration or other act on the part of the Trustee or any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with respect to the Notes occurs and is continuing, the Trustee by notice to the Issuers or the Holders of at least 30% in principal amount of the then outstanding Notes by notice to the Issuers and the Trustee may declare the Notes to be due and payable immediately. The Holders of a majority in aggregate principal amount of the Notes then outstanding by written notice to the Trustee may on behalf of all of the Holders rescind an acceleration and its consequences with respect to such Notes if the rescission would not conflict with any judgment or decree and if all existing Events of Default (except non-payment of principal, interest or premium that has become due solely because of the acceleration) have been cured or waived. Any time period in the Indenture to cure any actual or alleged default or Event of Default with respect to the Notes may be extended or stayed by a court of competent jurisdiction to the extent such actual or alleged default or Event of Default is the subject of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Noteholder Direction provided by any one or more Directing Holders must be accompanied by a Position Representation, which representation, in the case of a Default Direction shall be deemed repeated at all times until the resulting Event of Default is cured or otherwise ceases to exist or the Notes are accelerated. In addition, each Directing Holder must, at the time of providing a Noteholder Direction, make a Verification Covenant.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following the delivery of a Noteholder Direction, but prior to acceleration of the Notes, the Issuers determine in good faith that there is a reasonable basis to believe a Directing Holder was, at any relevant time, in breach of its Position Representation and provide to the Trustee evidence that the Issuers have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Issuers provide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until such time as the Issuers provide the Trustee with an Officers’ Certificate that the Verification Covenant has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Issuers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direction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TRUSTEE DEALINGS WITH ISSUERS. The Trustee, in its individual or any other capacity, may make loans to, accept deposits from, and perform services for any Issuer or its Affiliates, and may otherwise deal with any Issuer or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 RECOURSE AGAINST OTHERS. A director, officer, employee, incorporator, member or stockholder of the Issuers, as such, shall not have any liability for any obligations of the Issuers under the Notes or the Supplemental Indenture or for any claim based on, in respect of, or by reason of, such obligations or their creation. Each Holder by accepting a Note waives and releases all such liability. The waiver and release are part of the consideration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GOVERNING LAW. THE INTERNAL LAWS OF THE STATE OF NEW YORK SHALL GOVERN AND BE USED TO CONSTRUE THIS NOTE AND THE SUPPLEMENTAL INDENTURE WITHOUT GIVING EFFECT TO THE APPLICABLE PRINCIPLES OF CONFLICTS OF LAWS TO THE EXTENT THAT THE APPLICATION OF THE LAWS OF ANOTHER JURISDICTION WOULD BE REQUIRED THEREBY. EACH OF THE PARTIES HERETO AND THE HOLDERS AGREE TO SUBMIT TO THE JURISDICTION OF THE COURTS OF THE STATE OF NEW YORK IN ANY ACTION OR PROCEEDING ARISING OUT OF OR RELATING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AUTHENTICATION. This Note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ADDITIONAL RIGHTS OF HOLDERS OF RESTRICTED GLOBAL NOTES AND RESTRICTED DEFINITIVE NOTES. In addition to the rights provided to Holders of Notes under the Supplemental Indenture, Holders of Restricted Global Notes and Restricted Definitive Notes shall have all the rights set forth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CUSIP NUMBERS.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will furnish to any Holder upon written request and without charge a copy of the Supplemental Indenture, the Base Indenture and/or the Registration Rights Agreement, as applicable. Requests may be made to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Charter Communications, Inc.</w:t>
        <w:br/>
        <w:t>400 Washington Boulevard</w:t>
        <w:br/>
        <w:t>Stamford, Connecticut 06902</w:t>
        <w:br/>
        <w:t>Attention: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4010"/>
        <w:gridCol w:w="65"/>
      </w:tblGrid>
      <w:tr>
        <w:trPr/>
        <w:tc>
          <w:tcPr>
            <w:tcW w:w="4010" w:type="dxa"/>
            <w:tcBorders/>
            <w:vAlign w:val="center"/>
          </w:tcPr>
          <w:p>
            <w:pPr>
              <w:pStyle w:val="TableContents"/>
              <w:bidi w:val="0"/>
              <w:spacing w:before="0" w:after="283"/>
              <w:jc w:val="left"/>
              <w:rPr/>
            </w:pPr>
            <w:r>
              <w:rPr/>
              <w:t>(i) or (we) assign and transfer this Note to:</w:t>
            </w:r>
          </w:p>
        </w:tc>
        <w:tc>
          <w:tcPr>
            <w:tcW w:w="6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firstLine="72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 w:type="dxa"/>
        <w:jc w:val="left"/>
        <w:tblInd w:w="0" w:type="dxa"/>
        <w:tblLayout w:type="fixed"/>
        <w:tblCellMar>
          <w:top w:w="0" w:type="dxa"/>
          <w:left w:w="0" w:type="dxa"/>
          <w:bottom w:w="28" w:type="dxa"/>
          <w:right w:w="0" w:type="dxa"/>
        </w:tblCellMar>
      </w:tblPr>
      <w:tblGrid>
        <w:gridCol w:w="65"/>
      </w:tblGrid>
      <w:tr>
        <w:trPr/>
        <w:tc>
          <w:tcPr>
            <w:tcW w:w="6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________________________________________________ to transfer this Note on the books of the Issuers.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_____________________________________________________________</w:t>
        <w:br/>
        <w:t>(Sign exactly as your name appears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Global Note for an interest in another Global Note or for a Definitive Note, or exchanges of a part of another Global Note or Definitive Note for an interest in this Global Note, have been made:</w:t>
      </w:r>
    </w:p>
    <w:p>
      <w:pPr>
        <w:pStyle w:val="TextBody"/>
        <w:bidi w:val="0"/>
        <w:spacing w:before="0" w:after="0"/>
        <w:ind w:left="0" w:right="0" w:firstLine="144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1475"/>
        <w:gridCol w:w="65"/>
        <w:gridCol w:w="1460"/>
        <w:gridCol w:w="65"/>
        <w:gridCol w:w="1460"/>
        <w:gridCol w:w="65"/>
        <w:gridCol w:w="1505"/>
        <w:gridCol w:w="65"/>
        <w:gridCol w:w="1520"/>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Principal Amount</w:t>
              <w:br/>
              <w:t>of this Global</w:t>
              <w:br/>
              <w:t>Note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 in</w:t>
              <w:br/>
              <w:t>Principal Amount</w:t>
              <w:br/>
              <w:t xml:space="preserve">of this Global </w:t>
              <w:br/>
              <w:t>Note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Amount </w:t>
              <w:br/>
              <w:t xml:space="preserve">of this Global </w:t>
              <w:br/>
              <w:t>Note following</w:t>
              <w:br/>
              <w:t xml:space="preserve">such decrease (or </w:t>
              <w:br/>
              <w:t>increase)</w:t>
            </w:r>
          </w:p>
        </w:tc>
        <w:tc>
          <w:tcPr>
            <w:tcW w:w="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w:t>
              <w:br/>
              <w:t xml:space="preserve">authorized officer </w:t>
              <w:br/>
              <w:t>of Trustee or</w:t>
              <w:br/>
              <w:t>Note Custodian</w:t>
            </w:r>
          </w:p>
        </w:tc>
      </w:tr>
      <w:tr>
        <w:trPr/>
        <w:tc>
          <w:tcPr>
            <w:tcW w:w="14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ind w:left="0" w:right="0" w:hanging="0"/>
        <w:jc w:val="left"/>
        <w:rPr/>
      </w:pPr>
      <w:bookmarkStart w:id="64" w:name="tm2622892d1_ex4-5.htm"/>
      <w:bookmarkStart w:id="65" w:name="kstm2622892d1_ex45"/>
      <w:bookmarkEnd w:id="64"/>
      <w:bookmarkEnd w:id="6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COMMUNICATIONS OPERATING,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COMMUNICATIONS OPERATING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7.087% SENIOR SECURED NOTES DUE 2038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7.337% SENIOR SECURED NOTES DUE 2041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AND 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9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Dealer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 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 Trading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Morgan Stanley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S. Tryon Street, 20th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Deutsche Bank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Columbus Circle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Tryon Street, 5th Floor,</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 a Delaware limited liability company (“</w:t>
      </w:r>
      <w:r>
        <w:rPr>
          <w:rFonts w:ascii="Times New Roman;Times;Serif" w:hAnsi="Times New Roman;Times;Serif"/>
          <w:b w:val="false"/>
          <w:i w:val="false"/>
          <w:caps w:val="false"/>
          <w:smallCaps w:val="false"/>
          <w:sz w:val="20"/>
          <w:u w:val="single"/>
        </w:rPr>
        <w:t>CCO</w:t>
      </w:r>
      <w:r>
        <w:rPr>
          <w:rFonts w:ascii="Times New Roman;Times;Serif" w:hAnsi="Times New Roman;Times;Serif"/>
          <w:b w:val="false"/>
          <w:i w:val="false"/>
          <w:caps w:val="false"/>
          <w:smallCaps w:val="false"/>
          <w:sz w:val="20"/>
        </w:rPr>
        <w:t>”), Charter Communications Operating Capital Corp., a Delaware corporation (“</w:t>
      </w:r>
      <w:r>
        <w:rPr>
          <w:rFonts w:ascii="Times New Roman;Times;Serif" w:hAnsi="Times New Roman;Times;Serif"/>
          <w:b w:val="false"/>
          <w:i w:val="false"/>
          <w:caps w:val="false"/>
          <w:smallCaps w:val="false"/>
          <w:sz w:val="20"/>
          <w:u w:val="single"/>
        </w:rPr>
        <w:t>CCO Capital</w:t>
      </w:r>
      <w:r>
        <w:rPr>
          <w:rFonts w:ascii="Times New Roman;Times;Serif" w:hAnsi="Times New Roman;Times;Serif"/>
          <w:b w:val="false"/>
          <w:i w:val="false"/>
          <w:caps w:val="false"/>
          <w:smallCaps w:val="false"/>
          <w:sz w:val="20"/>
        </w:rPr>
        <w:t>” and, together with CCO,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propose, subject to the terms and conditions stated herein, to issue upon the terms set forth in the Issuers’ Exchange Offer Offering Memorandum, dated as of July 23, 2026 (as amended or supplemented prior to the date hereof, the “Exchange Offering Memorandum”) and in the Dealer Manager Agreement (as defined herein) on August 12, 2026, (x) up to $2,000,000,000 in aggregate principal amount of 7.087% Senior Secured Notes due 2038 (the “</w:t>
      </w:r>
      <w:r>
        <w:rPr>
          <w:rFonts w:ascii="Times New Roman;Times;Serif" w:hAnsi="Times New Roman;Times;Serif"/>
          <w:b w:val="false"/>
          <w:i w:val="false"/>
          <w:caps w:val="false"/>
          <w:smallCaps w:val="false"/>
          <w:sz w:val="20"/>
          <w:u w:val="single"/>
        </w:rPr>
        <w:t>New 2038 Notes</w:t>
      </w:r>
      <w:r>
        <w:rPr>
          <w:rFonts w:ascii="Times New Roman;Times;Serif" w:hAnsi="Times New Roman;Times;Serif"/>
          <w:b w:val="false"/>
          <w:i w:val="false"/>
          <w:caps w:val="false"/>
          <w:smallCaps w:val="false"/>
          <w:sz w:val="20"/>
        </w:rPr>
        <w:t>”) and (y) up to $2,000,000,000 in aggregate principal amount of 7.337% Senior Secured Notes due 2041 (the “</w:t>
      </w:r>
      <w:r>
        <w:rPr>
          <w:rFonts w:ascii="Times New Roman;Times;Serif" w:hAnsi="Times New Roman;Times;Serif"/>
          <w:b w:val="false"/>
          <w:i w:val="false"/>
          <w:caps w:val="false"/>
          <w:smallCaps w:val="false"/>
          <w:sz w:val="20"/>
          <w:u w:val="single"/>
        </w:rPr>
        <w:t>New 2041 Notes</w:t>
      </w:r>
      <w:r>
        <w:rPr>
          <w:rFonts w:ascii="Times New Roman;Times;Serif" w:hAnsi="Times New Roman;Times;Serif"/>
          <w:b w:val="false"/>
          <w:i w:val="false"/>
          <w:caps w:val="false"/>
          <w:smallCaps w:val="false"/>
          <w:sz w:val="20"/>
        </w:rPr>
        <w:t>” and, together with the New 2038 Notes, collectively,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and, each a “series” of Notes), in each case in connection with the Initial Exchange Offers. In satisfaction of a condition to the obligations of the Dealer Managers under the Dealer Manager Agreement, the Issuers and the guarantors listed on Schedule 1 hereto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agree with the Dealer Managers for the benefit of holders (as defined herein) from time to time of the Registrable Securities (as defined herein)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Exchange and Registration Rights Agreement, the following terms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Guarantor</w:t>
      </w:r>
      <w:r>
        <w:rPr>
          <w:rFonts w:ascii="Times New Roman;Times;Serif" w:hAnsi="Times New Roman;Times;Serif"/>
          <w:b w:val="false"/>
          <w:i w:val="false"/>
          <w:caps w:val="false"/>
          <w:smallCaps w:val="false"/>
          <w:sz w:val="20"/>
        </w:rPr>
        <w:t>” shall mean any subsidiary of CCO that becomes a Note Guarantor (as defined in the Indenture) under the Indenture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mean this Exchange and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shall mean the Indenture, dated as of July 23, 2015, among the Issuers, CCO Safari II, LLC, a Delaware limited liability company, the Trustee and the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Interest</w:t>
      </w:r>
      <w:r>
        <w:rPr>
          <w:rFonts w:ascii="Times New Roman;Times;Serif" w:hAnsi="Times New Roman;Times;Serif"/>
          <w:b w:val="false"/>
          <w:i w:val="false"/>
          <w:caps w:val="false"/>
          <w:smallCaps w:val="false"/>
          <w:sz w:val="20"/>
        </w:rPr>
        <w:t>” shall mean the interest that would otherwise accrue on the applicable series of Notes under the terms thereof and the Indenture, without giving effect to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broker-dealer</w:t>
      </w:r>
      <w:r>
        <w:rPr>
          <w:rFonts w:ascii="Times New Roman;Times;Serif" w:hAnsi="Times New Roman;Times;Serif"/>
          <w:b w:val="false"/>
          <w:i w:val="false"/>
          <w:caps w:val="false"/>
          <w:smallCaps w:val="false"/>
          <w:sz w:val="20"/>
        </w:rPr>
        <w:t>” shall mean any broker or dealer registered with the Commission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CCH II</w:t>
      </w:r>
      <w:r>
        <w:rPr>
          <w:rFonts w:ascii="Times New Roman;Times;Serif" w:hAnsi="Times New Roman;Times;Serif"/>
          <w:b w:val="false"/>
          <w:i w:val="false"/>
          <w:caps w:val="false"/>
          <w:smallCaps w:val="false"/>
          <w:sz w:val="20"/>
        </w:rPr>
        <w:t>” shall mean CCH II,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CCO</w:t>
      </w:r>
      <w:r>
        <w:rPr>
          <w:rFonts w:ascii="Times New Roman;Times;Serif" w:hAnsi="Times New Roman;Times;Serif"/>
          <w:b w:val="false"/>
          <w:i w:val="false"/>
          <w:caps w:val="false"/>
          <w:smallCaps w:val="false"/>
          <w:sz w:val="20"/>
        </w:rPr>
        <w:t>” shall have the meaning assigned thereto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CCO Capital</w:t>
      </w:r>
      <w:r>
        <w:rPr>
          <w:rFonts w:ascii="Times New Roman;Times;Serif" w:hAnsi="Times New Roman;Times;Serif"/>
          <w:b w:val="false"/>
          <w:i w:val="false"/>
          <w:caps w:val="false"/>
          <w:smallCaps w:val="false"/>
          <w:sz w:val="20"/>
        </w:rPr>
        <w:t>” shall have the meaning assigned thereto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shall mean Charter Communications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 Holdings</w:t>
      </w:r>
      <w:r>
        <w:rPr>
          <w:rFonts w:ascii="Times New Roman;Times;Serif" w:hAnsi="Times New Roman;Times;Serif"/>
          <w:b w:val="false"/>
          <w:i w:val="false"/>
          <w:caps w:val="false"/>
          <w:smallCaps w:val="false"/>
          <w:sz w:val="20"/>
        </w:rPr>
        <w:t>” shall mean Charter Communications Holdings,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mean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shall mean The Bank of New York Mellon Trust Company, N.A., as collateral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United States Securities and Exchange Commission, or any other federal agency at the time administering the Exchange Act or the Securities Act, whichever is the relevant statute for the particular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Conduct Rules</w:t>
      </w:r>
      <w:r>
        <w:rPr>
          <w:rFonts w:ascii="Times New Roman;Times;Serif" w:hAnsi="Times New Roman;Times;Serif"/>
          <w:b w:val="false"/>
          <w:i w:val="false"/>
          <w:caps w:val="false"/>
          <w:smallCaps w:val="false"/>
          <w:sz w:val="20"/>
        </w:rPr>
        <w:t>” shall have the meaning assigned thereto in Section 3(e)(xix)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Dealer Manager Agreement</w:t>
      </w:r>
      <w:r>
        <w:rPr>
          <w:rFonts w:ascii="Times New Roman;Times;Serif" w:hAnsi="Times New Roman;Times;Serif"/>
          <w:b w:val="false"/>
          <w:i w:val="false"/>
          <w:caps w:val="false"/>
          <w:smallCaps w:val="false"/>
          <w:sz w:val="20"/>
        </w:rPr>
        <w:t>” shall mean the Dealer Manager Agreement, dated as of July 23, 2026, among the Issuers, the Guarantors (as defined therein) and the Dealer Managers (as supplemented by that certain joinder agreement, dated as of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Dealer Managers</w:t>
      </w:r>
      <w:r>
        <w:rPr>
          <w:rFonts w:ascii="Times New Roman;Times;Serif" w:hAnsi="Times New Roman;Times;Serif"/>
          <w:b w:val="false"/>
          <w:i w:val="false"/>
          <w:caps w:val="false"/>
          <w:smallCaps w:val="false"/>
          <w:sz w:val="20"/>
        </w:rPr>
        <w:t>” have the meaning assigned thereto in the introductory paragraph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in the case of (i) an Exchange Offer Registration, shall mean the time and date as of which the Commission declares the Exchange Offer Registration Statement effective or as of which the Exchange Offer Registration Statement otherwise becomes effective and (ii) a Shelf Registration, shall mean the time and date as of which the Commission declares the Shelf Registration Statement effective or as of which the Shelf Registration Statement otherwise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Electing Holder</w:t>
      </w:r>
      <w:r>
        <w:rPr>
          <w:rFonts w:ascii="Times New Roman;Times;Serif" w:hAnsi="Times New Roman;Times;Serif"/>
          <w:b w:val="false"/>
          <w:i w:val="false"/>
          <w:caps w:val="false"/>
          <w:smallCaps w:val="false"/>
          <w:sz w:val="20"/>
        </w:rPr>
        <w:t>” shall mean any holder of Registrable Securities that has returned a completed and signed Notice and Questionnaire to the Issuers in accordance with Section 3(e)(ii) or 3(e)(iii)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or any successor thereto, and the rules, regulations and forms promulgated thereunder, all as the same shall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Date</w:t>
      </w:r>
      <w:r>
        <w:rPr>
          <w:rFonts w:ascii="Times New Roman;Times;Serif" w:hAnsi="Times New Roman;Times;Serif"/>
          <w:b w:val="false"/>
          <w:i w:val="false"/>
          <w:caps w:val="false"/>
          <w:smallCaps w:val="false"/>
          <w:sz w:val="20"/>
        </w:rPr>
        <w:t>” shall have the meaning assigned thereto in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Notes</w:t>
      </w:r>
      <w:r>
        <w:rPr>
          <w:rFonts w:ascii="Times New Roman;Times;Serif" w:hAnsi="Times New Roman;Times;Serif"/>
          <w:b w:val="false"/>
          <w:i w:val="false"/>
          <w:caps w:val="false"/>
          <w:smallCaps w:val="false"/>
          <w:sz w:val="20"/>
        </w:rPr>
        <w:t>” shall mean the senior secured notes of the same series issued by the Issuers and guaranteed by the Guarantors under the Indenture substantially identical in all material respects to the applicable series of Notes (and entitled to the benefits of the Indenture which shall be qualified under the Trust Indenture Act), except that they have been registered pursuant to an effective registration statement under the Securities Act and do not contain provisions for the additional interest contemplated in Section 2(c) hereof, to be issued to holders in exchange for Registrable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shall have the meaning assigned thereto in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 Registration</w:t>
      </w:r>
      <w:r>
        <w:rPr>
          <w:rFonts w:ascii="Times New Roman;Times;Serif" w:hAnsi="Times New Roman;Times;Serif"/>
          <w:b w:val="false"/>
          <w:i w:val="false"/>
          <w:caps w:val="false"/>
          <w:smallCaps w:val="false"/>
          <w:sz w:val="20"/>
        </w:rPr>
        <w:t>” shall have the meaning assigned thereto in Section 3(c)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 Registration Statement</w:t>
      </w:r>
      <w:r>
        <w:rPr>
          <w:rFonts w:ascii="Times New Roman;Times;Serif" w:hAnsi="Times New Roman;Times;Serif"/>
          <w:b w:val="false"/>
          <w:i w:val="false"/>
          <w:caps w:val="false"/>
          <w:smallCaps w:val="false"/>
          <w:sz w:val="20"/>
        </w:rPr>
        <w:t>” shall have the meaning assigned thereto in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Exchanging Dealer</w:t>
      </w:r>
      <w:r>
        <w:rPr>
          <w:rFonts w:ascii="Times New Roman;Times;Serif" w:hAnsi="Times New Roman;Times;Serif"/>
          <w:b w:val="false"/>
          <w:i w:val="false"/>
          <w:caps w:val="false"/>
          <w:smallCaps w:val="false"/>
          <w:sz w:val="20"/>
        </w:rPr>
        <w:t>” shall have the meaning assigned thereto in Section 6(a)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shall have the meaning assigned thereto in Section 3(e)(xix)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shall mean the guarantees of the Notes and guarantees of the Exchange Notes by the Guarantors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shall have the meaning set forth in the preamble and shall also include any Additional Guarantors and any Guarantor’s successor that Guarantees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mean, unless the context otherwise indicates, each of the holders who acquire Registrable Securities in the Initial Exchange Offers and other persons who acquire Registrable Securities from time to time (including, without limitation, any successors or assigns), in each case for so long as such person is a registered holder of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shall mean the Base Indenture, as supplemented by the Twenty-Seventh Supplemental Indenture (as defined below), as the same shall be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Exchange Offers</w:t>
      </w:r>
      <w:r>
        <w:rPr>
          <w:rFonts w:ascii="Times New Roman;Times;Serif" w:hAnsi="Times New Roman;Times;Serif"/>
          <w:b w:val="false"/>
          <w:i w:val="false"/>
          <w:caps w:val="false"/>
          <w:smallCaps w:val="false"/>
          <w:sz w:val="20"/>
        </w:rPr>
        <w:t>” shall mean (a) an offer to exchange the outstanding (i) 3.500% Senior Secured Notes due 2042, (ii) 3.500% Senior Secured Notes due 2041, (iii) 4.500% senior debentures due 2042, (iv) 5.375% Senior Secured Notes due 2047, (v) 2.300% Senior Secured Notes due 2032, (vi) 2.800% Senior Secured Notes due 2031 and (vii) 2.250% Senior Secured Notes due 2029 issued by either the Issuers or Time Warner Cable, LLC, as applicable, for a combination of cash consideration and up to $2,000,000,000 in aggregate principal amount of the New 2038 Notes and (b) an offer to exchange the outstanding (i) 3.700% senior secured notes due 2051, (ii) 3.900% senior secured notes due 2052, (iii) 4.800% Senior Secured Notes due 2050, (iv) 5.125% Senior Secured Notes due 2049 and (v) 5.250% Senior Secured Notes due 2053 issued by the Issuers for a combination of cash consideration and up to $2,000,000,000 in aggregate principal amount of the New 2041 Notes, in each case in accordance with the terms set forth in the Exchange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shall have the meaning assigned thereto in the introductory paragraph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assigned thereto in Section 6(d)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shall have the meaning assigned thereto in the introductory paragraph hereto and shall include any additional Notes of any series issued in connection with the Initial Exchange Offers subsequent to the Closing Date pursuant to the Indenture and any Notes of any series issued in exchange therefor or in lieu thereof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and Questionnaire</w:t>
      </w:r>
      <w:r>
        <w:rPr>
          <w:rFonts w:ascii="Times New Roman;Times;Serif" w:hAnsi="Times New Roman;Times;Serif"/>
          <w:b w:val="false"/>
          <w:i w:val="false"/>
          <w:caps w:val="false"/>
          <w:smallCaps w:val="false"/>
          <w:sz w:val="20"/>
        </w:rPr>
        <w:t>” shall mean a Notice of Registration Statement and Selling Securityholder Questionnaire substantially in the form of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Companies</w:t>
      </w:r>
      <w:r>
        <w:rPr>
          <w:rFonts w:ascii="Times New Roman;Times;Serif" w:hAnsi="Times New Roman;Times;Serif"/>
          <w:b w:val="false"/>
          <w:i w:val="false"/>
          <w:caps w:val="false"/>
          <w:smallCaps w:val="false"/>
          <w:sz w:val="20"/>
        </w:rPr>
        <w:t>” shall mean, collectively, (i) Charter, (ii) Charter Holdings, (iii) Charter Communications Holding Company, LLC, a Delaware limited liability company, and (iv) CCH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 corporation, association, partnership, organization, limited liability company, business, individual, government or political subdivision thereof or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shall mean the Notes of the applicable series (and to the extent set forth in clause (i) of this definition and in Section 2(d) hereof, certain Exchange Notes of the applicable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Note or Exchange Note shall cease to be a Registrable Security when (i) in the circumstances contemplated by Section 2(a) hereof, such Note has been exchanged for an Exchange Note in an Exchange Offer as contemplated in Section 2(a)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Exchange Note that, pursuant to the penultimate sentence of Section 2(a), is included in a prospectus for use in connection with resales by broker-dealers shall be deemed to be a Registrable Security with respect to Sections 5, 6 and 9 hereof until resale of such Registrable Security has been effected within the 180-day period referred to in Section 2(a)(y)); (ii) in the circumstances contemplated by Section 2(b) hereof, a Shelf Registration Statement registering such Note or Exchange Note under the Securities Act has been declared or becomes effective and such Note or Exchange Note has been sold or otherwise transferred by the holder thereof pursuant to and in a manner contemplated by such effective Shelf Registration Statement; (iii) such Note or Exchange Note is sold pursuant to Rule 144 under circumstances in which any legend borne by such Note or Exchange Note relating to restrictions on transferability thereof, under the Securities Act or otherwise, is removed by the Issuers pursuant to the Indenture; (iv) such Note or Exchange Note is eligible to be sold pursuant to Rule 144 by a Person that is not an “affiliate” (within the meaning of Rule 405); or (v) such Note or Exchange Note shall cease to be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Default</w:t>
      </w:r>
      <w:r>
        <w:rPr>
          <w:rFonts w:ascii="Times New Roman;Times;Serif" w:hAnsi="Times New Roman;Times;Serif"/>
          <w:b w:val="false"/>
          <w:i w:val="false"/>
          <w:caps w:val="false"/>
          <w:smallCaps w:val="false"/>
          <w:sz w:val="20"/>
        </w:rPr>
        <w:t>” shall have the meaning assigned thereto in Section 2(c)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Default Period</w:t>
      </w:r>
      <w:r>
        <w:rPr>
          <w:rFonts w:ascii="Times New Roman;Times;Serif" w:hAnsi="Times New Roman;Times;Serif"/>
          <w:b w:val="false"/>
          <w:i w:val="false"/>
          <w:caps w:val="false"/>
          <w:smallCaps w:val="false"/>
          <w:sz w:val="20"/>
        </w:rPr>
        <w:t>” shall have the meaning assigned thereto in Section 2(c)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shall have the meaning assigned thereto in Section 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Resale Period</w:t>
      </w:r>
      <w:r>
        <w:rPr>
          <w:rFonts w:ascii="Times New Roman;Times;Serif" w:hAnsi="Times New Roman;Times;Serif"/>
          <w:b w:val="false"/>
          <w:i w:val="false"/>
          <w:caps w:val="false"/>
          <w:smallCaps w:val="false"/>
          <w:sz w:val="20"/>
        </w:rPr>
        <w:t>” shall have the meaning assigned thereto in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Holder</w:t>
      </w:r>
      <w:r>
        <w:rPr>
          <w:rFonts w:ascii="Times New Roman;Times;Serif" w:hAnsi="Times New Roman;Times;Serif"/>
          <w:b w:val="false"/>
          <w:i w:val="false"/>
          <w:caps w:val="false"/>
          <w:smallCaps w:val="false"/>
          <w:sz w:val="20"/>
        </w:rPr>
        <w:t>” shall mean (i) a holder that is an affiliate of the Issuers within the meaning of Rule 405, (ii) a holder who acquires Exchange Notes outside the ordinary course of such holder’s business, (iii) a holder who has arrangements or understandings with any person to participate in the Exchange Offer for the purpose of distributing Exchange Notes and (iv) a holder that is a broker-dealer, but only with respect to Exchange Notes received by such broker-dealer pursuant to an Exchange Offer in exchange for Registrable Securities acquired by the broker-dealer directly from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shall mean, in each case, such rule promulgated under the Securities Act (or any successor provision), as the same shall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or any successor thereto, and the rules, regulations and forms promulgated thereunder, all as the same shall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Filing Deadline</w:t>
      </w:r>
      <w:r>
        <w:rPr>
          <w:rFonts w:ascii="Times New Roman;Times;Serif" w:hAnsi="Times New Roman;Times;Serif"/>
          <w:b w:val="false"/>
          <w:i w:val="false"/>
          <w:caps w:val="false"/>
          <w:smallCaps w:val="false"/>
          <w:sz w:val="20"/>
        </w:rPr>
        <w:t>” shall have the meaning assigned thereto in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shall have the meaning assigned thereto in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shall have the meaning assigned thereto in Section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Interest</w:t>
      </w:r>
      <w:r>
        <w:rPr>
          <w:rFonts w:ascii="Times New Roman;Times;Serif" w:hAnsi="Times New Roman;Times;Serif"/>
          <w:b w:val="false"/>
          <w:i w:val="false"/>
          <w:caps w:val="false"/>
          <w:smallCaps w:val="false"/>
          <w:sz w:val="20"/>
        </w:rPr>
        <w:t>” shall have the meaning assigned thereto in Section 2(c)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Restricted Notes</w:t>
      </w:r>
      <w:r>
        <w:rPr>
          <w:rFonts w:ascii="Times New Roman;Times;Serif" w:hAnsi="Times New Roman;Times;Serif"/>
          <w:b w:val="false"/>
          <w:i w:val="false"/>
          <w:caps w:val="false"/>
          <w:smallCaps w:val="false"/>
          <w:sz w:val="20"/>
        </w:rPr>
        <w:t>” shall have the meaning assigned thereto in Section 2(c)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shall mean the Trust Indenture Act of 1939, or any successor thereto, and the rules, regulations and forms promulgated thereunder, all as the same shall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mean The Bank of New York Mellon Trust Company, N.A., as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TWC” shall mean Time Warner Cable, LLC, an indirect subsidiary of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Twenty-Seventh Supplemental Indenture</w:t>
      </w:r>
      <w:r>
        <w:rPr>
          <w:rFonts w:ascii="Times New Roman;Times;Serif" w:hAnsi="Times New Roman;Times;Serif"/>
          <w:b w:val="false"/>
          <w:i w:val="false"/>
          <w:caps w:val="false"/>
          <w:smallCaps w:val="false"/>
          <w:sz w:val="20"/>
        </w:rPr>
        <w:t>” shall mean the twenty-seventh supplemental indenture to the Base Indenture, dated as of August 12, 2026, by and among the Issuers, the Guarantors, the Trustee and Collateral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any reference herein to a “Section” or “clause” refers to a Section or clause, as the case may be, of this Agreement, and the words “herein,” “hereof” and “hereunder” and other words of similar import refer to this Agreement as a whole and not to any particular Section or other subdivision. Any reference herein to “Notes” or “Exchange Notes” or any series thereof refers also to any guarantees thereof by the Guarantors and any other guarantors required to guarantee such notes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Registration Under the 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Section 2(b) below, with respect to each series of Notes, the Issuers and the Guarantors agree to file under the Securities Act, as soon as practicable, a registration statement relating to an offer to exchange (such registration statement, the “</w:t>
      </w:r>
      <w:r>
        <w:rPr>
          <w:rFonts w:ascii="Times New Roman;Times;Serif" w:hAnsi="Times New Roman;Times;Serif"/>
          <w:b w:val="false"/>
          <w:i w:val="false"/>
          <w:caps w:val="false"/>
          <w:smallCaps w:val="false"/>
          <w:sz w:val="20"/>
          <w:u w:val="single"/>
        </w:rPr>
        <w:t>Exchange Offer Registration Statement</w:t>
      </w:r>
      <w:r>
        <w:rPr>
          <w:rFonts w:ascii="Times New Roman;Times;Serif" w:hAnsi="Times New Roman;Times;Serif"/>
          <w:b w:val="false"/>
          <w:i w:val="false"/>
          <w:caps w:val="false"/>
          <w:smallCaps w:val="false"/>
          <w:sz w:val="20"/>
        </w:rPr>
        <w:t>,” and such offer, the “</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any and all Registrable Securities for a like aggregate principal amount of Exchange Notes. The Issuers and the Guarantors agree to use their reasonable best efforts to cause the Exchange Offer Registration Statement to become or be declared effective under the Securities Act as soon as practicable after the Closing Date. The Exchange Offer will be registered under the Securities Act on the appropriate form and will comply with the Exchange Act. The Issuers and the Guarantors further agree to use their reasonable best efforts to complete the Exchange Offer not later than 450 days following the Closing Date (or if such 450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is not a business day, the next succeeding business day) (the “</w:t>
      </w:r>
      <w:r>
        <w:rPr>
          <w:rFonts w:ascii="Times New Roman;Times;Serif" w:hAnsi="Times New Roman;Times;Serif"/>
          <w:b w:val="false"/>
          <w:i w:val="false"/>
          <w:caps w:val="false"/>
          <w:smallCaps w:val="false"/>
          <w:sz w:val="20"/>
          <w:u w:val="single"/>
        </w:rPr>
        <w:t>Exchange Date</w:t>
      </w:r>
      <w:r>
        <w:rPr>
          <w:rFonts w:ascii="Times New Roman;Times;Serif" w:hAnsi="Times New Roman;Times;Serif"/>
          <w:b w:val="false"/>
          <w:i w:val="false"/>
          <w:caps w:val="false"/>
          <w:smallCaps w:val="false"/>
          <w:sz w:val="20"/>
        </w:rPr>
        <w:t xml:space="preserve">”) and to exchange Exchange Notes for all Registrable Securities that have been properly tendered and not withdrawn on or prior to the expiration of the Exchange Offer. The Issuers and the Guarantors shall keep the Exchange Offer open for a period of not less than the minimum period required under applicable United States federal and state securities laws to complete the Exchange Offer;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such period be less than 20 business days after the date notice of the Exchange Offer is mailed to holders. The Exchange Offer will be deemed to have been completed only if the Exchange Notes received by holders, other than Restricted Holders, in the Exchange Offer in exchange for Registrable Securities are, upon receipt, transferable by each such holder without restriction under the Securities Act and the Exchange Act and without material restrictions under the blue sky or securities laws of a substantial majority of the States of the United States of America. The Exchange Offer shall be deemed to have been completed upon the earlier to occur of (i) the Issuers having exchanged the Exchange Notes for all outstanding Registrable Securities pursuant to the Exchange Offer and (ii) the Issuers having exchanged, pursuant to the Exchange Offer, Exchange Notes for all Registrable Securities that have been properly tendered and not withdrawn before the expiration of the Exchange Offer. The Issuers and the Guarantors agree (x) to include in the Exchange Offer Registration Statement a prospectus for use in any resales by any holder of Exchange Notes that is a broker-dealer and identifies itself as such by written notice to the Issuers prior to the effectiveness of the Exchange Offer Registration Statement and (y) to keep such Exchange Offer Registration Statement effective for a period (the “</w:t>
      </w:r>
      <w:r>
        <w:rPr>
          <w:rFonts w:ascii="Times New Roman;Times;Serif" w:hAnsi="Times New Roman;Times;Serif"/>
          <w:b w:val="false"/>
          <w:i w:val="false"/>
          <w:caps w:val="false"/>
          <w:smallCaps w:val="false"/>
          <w:sz w:val="20"/>
          <w:u w:val="single"/>
        </w:rPr>
        <w:t>Resale Period</w:t>
      </w:r>
      <w:r>
        <w:rPr>
          <w:rFonts w:ascii="Times New Roman;Times;Serif" w:hAnsi="Times New Roman;Times;Serif"/>
          <w:b w:val="false"/>
          <w:i w:val="false"/>
          <w:caps w:val="false"/>
          <w:smallCaps w:val="false"/>
          <w:sz w:val="20"/>
        </w:rPr>
        <w:t>”) beginning when Exchange Notes are first issued in the Exchange Offer and ending upon the earlier of the expiration of the 180th day after the Exchange Offer has been completed or such time as such broker-dealers no longer own any Registrable Securities. With respect to such Exchange Offer Registration Statement, such holders shall have the benefit of the rights of indemnification and contribution set forth in Sections 6(a), (c), (d) and (e)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on or prior to the time the Exchange Offer is completed existing law or Commission policy or interpretations are changed such that the Exchange Notes received by holders, other than Restricted Holders, in the Exchange Offer in exchange for Registrable Securities are not or would not be, upon receipt, transferable by each such holder without restriction under the Securities Act, (ii) the Exchange Offer has not been completed by the Exchange Date, or (iii) the Exchange Offer is not available to any holder which notifies the Issuers in writing, then, in each case, the Issuers and the Guarantors shall, in lieu of (or, in the case of clause (iii), in addition to) conducting the Exchange Offer contemplated by Section 2(a), file a “shelf” registration statement in accordance with the remainder of this Section 2(b) below, under the Securities Act with respect to the applicable series of Notes that could not be exchanged for any reason set forth in clauses (i) through (iii) above. The Issuers and the Guarantors shall, on or prior to 30 days after the time such obligation to file arises, file a “shelf” registration statement providing for the registration of, and the sale on a continuous or delayed basis by the holders of, all the Registrable Securities, pursuant to Rule 415 or any similar rule that may be adopted by the Commission (such filing, the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and such registration statement, the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The Issuers and the Guarantors agree to use their reasonable best efforts (x) to cause the Shelf Registration Statement to become or be declared effective by the Commission on or prior to the later of 450 days (or if such 450th day is not a business day, the next succeeding business day) following the Closing Date and the 90th day (or if such 90th day is not a business day, the next succeeding business day) after the date such filing obligations arises (the “</w:t>
      </w:r>
      <w:r>
        <w:rPr>
          <w:rFonts w:ascii="Times New Roman;Times;Serif" w:hAnsi="Times New Roman;Times;Serif"/>
          <w:b w:val="false"/>
          <w:i w:val="false"/>
          <w:caps w:val="false"/>
          <w:smallCaps w:val="false"/>
          <w:sz w:val="20"/>
          <w:u w:val="single"/>
        </w:rPr>
        <w:t>Shelf Filing Deadline</w:t>
      </w:r>
      <w:r>
        <w:rPr>
          <w:rFonts w:ascii="Times New Roman;Times;Serif" w:hAnsi="Times New Roman;Times;Serif"/>
          <w:b w:val="false"/>
          <w:i w:val="false"/>
          <w:caps w:val="false"/>
          <w:smallCaps w:val="false"/>
          <w:sz w:val="20"/>
        </w:rPr>
        <w:t xml:space="preserve">”) and to keep such Shelf Registration Statement continuously effective for a period ending on the earlier of (i) the second anniversary of the Effective Time or (ii) such time as there are no longer any Registrable Securities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holder shall be entitled to be named as a selling securityholder in the Shelf Registration Statement or to use the prospectus forming a part thereof for resales of Registrable Securities unless such holder is an Electing Holder, and (y) after the Effective Time of the Shelf Registration Statement, promptly upon the request of any holder of Registrable Securities that is not then an Electing Holder, to take any action reasonably necessary to enable such holder to use the prospectus forming a part thereof for resales of Registrable Securities, including, without limitation, any action necessary to identify such holder as a selling securityholder in the Shelf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clause (y) shall relieve any such holder of the obligation to return a completed and signed Notice and Questionnaire to the Issuers in accordance with Section 3(e)(iii) hereof. The Issuers and the Guarantors further agree to supplement or make amendments to the Shelf Registration Statement, as and when required by the rules, regulations or instructions applicable to the registration form used by the Issuers and the Guarantors for such Shelf Registration Statement or by the Securities Act for shelf registration, and the Issuers and the Guarantors agree to furnish to each Electing Holder copies of any such supplement or amendment prior to its being used or promptly following its filing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(i) the Shelf Registration Statement has not become effective or been declared effective by the Commission on or prior to the Shelf Filing Deadline, (ii) the Exchange Offer has not been completed on or prior to the Exchange Date, (iii) the Exchange Offer Registration Statement required by Section 2(a) hereof is filed and becomes or is declared effective but thereafter shall either be withdrawn by the Issuers and the Guarantors or shall become subject to an effective stop order issued pursuant to Section 8(d) of the Securities Act suspending the effectiveness of such registration statement (except as specifically permitted herein) without being succeeded immediately by an additional registration statement filed and declared effective, in each case prior to the completion of the Exchange Offer or (iv) the Shelf Registration Statement required by Section 2(b) hereof is filed and becomes or is declared effective but shall thereafter either be withdrawn by the Issuers and the Guarantors or shall become subject to an effective stop order issued pursuant to Section 8(d) of the Securities Act suspending the effectiveness of such registration statement (except as specifically permitted herein) without being succeeded immediately by an additional registration statement filed and declared effective (each such event referred to in clauses (i) through (iv), a “</w:t>
      </w:r>
      <w:r>
        <w:rPr>
          <w:rFonts w:ascii="Times New Roman;Times;Serif" w:hAnsi="Times New Roman;Times;Serif"/>
          <w:b w:val="false"/>
          <w:i w:val="false"/>
          <w:caps w:val="false"/>
          <w:smallCaps w:val="false"/>
          <w:sz w:val="20"/>
          <w:u w:val="single"/>
        </w:rPr>
        <w:t>Registration Default</w:t>
      </w:r>
      <w:r>
        <w:rPr>
          <w:rFonts w:ascii="Times New Roman;Times;Serif" w:hAnsi="Times New Roman;Times;Serif"/>
          <w:b w:val="false"/>
          <w:i w:val="false"/>
          <w:caps w:val="false"/>
          <w:smallCaps w:val="false"/>
          <w:sz w:val="20"/>
        </w:rPr>
        <w:t>” and each period during which a Registration Default has occurred and is continuing, a “</w:t>
      </w:r>
      <w:r>
        <w:rPr>
          <w:rFonts w:ascii="Times New Roman;Times;Serif" w:hAnsi="Times New Roman;Times;Serif"/>
          <w:b w:val="false"/>
          <w:i w:val="false"/>
          <w:caps w:val="false"/>
          <w:smallCaps w:val="false"/>
          <w:sz w:val="20"/>
          <w:u w:val="single"/>
        </w:rPr>
        <w:t>Registration Default Period</w:t>
      </w:r>
      <w:r>
        <w:rPr>
          <w:rFonts w:ascii="Times New Roman;Times;Serif" w:hAnsi="Times New Roman;Times;Serif"/>
          <w:b w:val="false"/>
          <w:i w:val="false"/>
          <w:caps w:val="false"/>
          <w:smallCaps w:val="false"/>
          <w:sz w:val="20"/>
        </w:rPr>
        <w:t>”), then, as liquidated damages for such Registration Default, subject to the provisions of Section 9(b), special interest (“</w:t>
      </w:r>
      <w:r>
        <w:rPr>
          <w:rFonts w:ascii="Times New Roman;Times;Serif" w:hAnsi="Times New Roman;Times;Serif"/>
          <w:b w:val="false"/>
          <w:i w:val="false"/>
          <w:caps w:val="false"/>
          <w:smallCaps w:val="false"/>
          <w:sz w:val="20"/>
          <w:u w:val="single"/>
        </w:rPr>
        <w:t>Special Interest</w:t>
      </w:r>
      <w:r>
        <w:rPr>
          <w:rFonts w:ascii="Times New Roman;Times;Serif" w:hAnsi="Times New Roman;Times;Serif"/>
          <w:b w:val="false"/>
          <w:i w:val="false"/>
          <w:caps w:val="false"/>
          <w:smallCaps w:val="false"/>
          <w:sz w:val="20"/>
        </w:rPr>
        <w:t>”), in addition to the Base Interest, shall accrue on the aggregate principal amount of the outstanding Transfer Restricted Notes (as defined below) affected by such Registration Default at a per annum rate of 0.25% for the first 90 days of the Registration Default Period and at a per annum rate of 0.50% thereafter for the remaining portion of the Registration Default Period, commencing on (A) the 90th day after the filing of such Shelf Registration Statement was required, in the case of clause (i) above (but in no event prior to the 450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Closing Date), (B) the 450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Closing Date, in the case of clause (ii) above, (C) the day such Exchange Offer Registration Statement ceases to be effective, in the case of clause (iii) above and (D) the day such Shelf Registration Statement ceases to be effective, in the case of clause (iv) above. Following the cure of all Registration Defaults relating to particular Transfer Restricted Notes (which shall be the Effective Time of the Shelf Registration Statement in the case of clause (i) above, the date of the completion of the Exchange Offer, in the case of clause (ii) above, the date that the Exchange Offer Registration Statement again becomes effective, in the case of clause (iii) above, and the date that the Shelf Registration Statement again becomes effective, in the case of clause (iv) above), the interest rate borne by the relevant Transfer Restricted Notes will be reduced to the original interest rate borne by such Transfer Restricted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after any such reduction in interest rate, a different Registration Default occurs, the interest rate borne by the relevant Transfer Restricted Notes shall again be increased pursuant to the foregoing provisions. All accrued Special Interest shall be paid in cash by the Issuers on each Interest Payment Date (as defined in the Indenture). For purposes of this Agreement, “</w:t>
      </w:r>
      <w:r>
        <w:rPr>
          <w:rFonts w:ascii="Times New Roman;Times;Serif" w:hAnsi="Times New Roman;Times;Serif"/>
          <w:b w:val="false"/>
          <w:i w:val="false"/>
          <w:caps w:val="false"/>
          <w:smallCaps w:val="false"/>
          <w:sz w:val="20"/>
          <w:u w:val="single"/>
        </w:rPr>
        <w:t>Transfer Restricted Notes</w:t>
      </w:r>
      <w:r>
        <w:rPr>
          <w:rFonts w:ascii="Times New Roman;Times;Serif" w:hAnsi="Times New Roman;Times;Serif"/>
          <w:b w:val="false"/>
          <w:i w:val="false"/>
          <w:caps w:val="false"/>
          <w:smallCaps w:val="false"/>
          <w:sz w:val="20"/>
        </w:rPr>
        <w:t>” shall mean, with respect to any Registration Default, any Notes or Exchange Notes of the applicable series which have not ceased being Registrable Securities pursuant to the definition thereof in Section 1 of this Agreement. Notwithstanding anything contained herein, Special Interest shall be the sole and exclusive remedy with respect to a Registration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holder determines that it is not eligible to participate in the Exchange Offer with respect to the exchange of Registrable Securities constituting any portion of an unsold allotment, at the request of such holder, then, subject to any prohibitions or restrictions imposed by any applicable law or regulations, the Issuers shall use their commercially reasonable efforts to issue and deliver to such holder, in exchange for such Registrable Securities, a like principal amount of Exchange Notes. Such issuance shall not be deemed to be part of the Exchange Offer. The Issuers and the Guarantors shall use their commercially reasonable efforts to cause the CUSIP Service Bureau to issue the same CUSIP number for Exchange Notes described in this Section 2(d) as for Exchange Notes issued pursuant to the Exchange Offer. Any such Exchange Notes shall, at the time of issuance, and subject to the limitations set forth in Section 1 hereof, constitute Registrable Securities for purposes of this Agreement (other than Section 2(a)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Issuers and the Guarantors shall use their reasonable best efforts to take all actions necessary or advisable to be taken by them to ensure that the transactions contemplated herein are effected as so contemplated in Section 2(a) or 2(b)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reference herein to a registration statement as of any time shall be deemed to include any document incorporated, or deemed to be incorporated, therein by reference as of such time and any reference herein to any post-effective amendment to a registration statement as of any time shall be deemed to include any document incorporated, or deemed to be incorporated, therein by reference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the Issuers’ and the Guarantors’ obligations under this Section 2, including, without limitation, the obligation to consummate an Exchange Offer pursuant to clause (a) and, as applicable, to file and keep effective a Shelf Registration Statement pursuant to clause (b), and, in each case, all other related obligations of the Issuers and the Guarantors under this Agreement, shall separately apply with respect to each series of Notes (and the Registrable Securities and Exchange Notes with respect to such series of Notes), and Special Interest, if any (and any related Registration Default), under clause (c) shall be separately determined, calculated, due and payable with respect to each series of Notes,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 If the Issuers and the Guarantors file a registration statement pursuant to Section 2(a) or Section 2(b),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before the Effective Time of the Exchange Offer or the Shelf Registration, as the case may be, the Issuers and the Guarantors shall cause the Indenture to be qualified under the Trust Indenture Act of 1939.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such qualification would require the appointment of a new trustee under the Indenture, the Issuers and the Guarantors shall appoint a new trustee thereunder pursuant to the applicable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Issuers’ and the Guarantors’ obligations with respect to the registration of Exchange Notes as contemplated by Section 2(a) (the “</w:t>
      </w:r>
      <w:r>
        <w:rPr>
          <w:rFonts w:ascii="Times New Roman;Times;Serif" w:hAnsi="Times New Roman;Times;Serif"/>
          <w:b w:val="false"/>
          <w:i w:val="false"/>
          <w:caps w:val="false"/>
          <w:smallCaps w:val="false"/>
          <w:sz w:val="20"/>
          <w:u w:val="single"/>
        </w:rPr>
        <w:t>Exchange Offer Registration</w:t>
      </w:r>
      <w:r>
        <w:rPr>
          <w:rFonts w:ascii="Times New Roman;Times;Serif" w:hAnsi="Times New Roman;Times;Serif"/>
          <w:b w:val="false"/>
          <w:i w:val="false"/>
          <w:caps w:val="false"/>
          <w:smallCaps w:val="false"/>
          <w:sz w:val="20"/>
        </w:rPr>
        <w:t>”), if applicable, the Issuers and the Guarantors shall, as soon as practicable (or as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prepare and file with the Commission an Exchange Offer Registration Statement on any form which may be utilized by the Issuers and the Guarantors and which shall permit the Exchange Offer and resales of Exchange Notes by broker-dealers during the Resale Period to be effected as contemplated by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prepare and file with the Commission such amendments and supplements to such Exchange Offer Registration Statement and the prospectus included therein as may be necessary to effect and maintain the effectiveness of such Exchange Offer Registration Statement for the periods and purposes contemplated in Section 2(a) hereof and as may be required by the applicable rules and regulations of the Commission and the instructions applicable to the form of such Exchange Offer Registration Statement, and promptly provide each broker-dealer holding Exchange Notes with such number of copies of the prospectus included therein (as then amended or supplemented), in conformity in all material respects with the requirements of the Securities Act and the Trust Indenture Act, as such broker-dealer reasonably may request prior to the expiration of the Resale Period, for use in connection with resales of Exchange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prepare and furnish to each such holder a reasonable number of copies of a prospectus supplemented or amended so that, as thereafter delivered to purchasers of such Exchange Notes during the Resale Period, such prospectus conforms in all material respects to the applicable requirements of the Securities Act and the Trust Indenture Act and shall not contain an untrue statement of a material fact or omit to state a material fact required to be stated therein or necessary to make the statements therein not misleading in light of the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use their reasonable best efforts to obtain the withdrawal of any order suspending the effectiveness of such Exchange Offer Registration Statement or any post-effective amendment thereto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use their reasonable best efforts to (A) register or qualify the Exchange Notes under the securities laws or blue sky laws of such jurisdictions as are contemplated by Section 2(a) no later than the commencement of the Exchange Offer, (B) keep such registrations or qualifications in effect and comply with such laws so as to permit the continuance of offers, sales and dealings therein in such jurisdictions until the expiration of the Resale Period and (C) take any and all other actions as may be reasonably necessary or advisable to enable each broker-dealer holding Exchange Notes to consummate the disposition thereof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of the Issuers or the Guarantors shall be required for any such purpose to (1) qualify as a foreign corporation or limited liability company, as the case may be, in any jurisdiction wherein it would not otherwise be required to qualify but for the requirements of this Section 3(c)(v), (2) consent to general service of process in any such jurisdiction or (3) make any changes to its certificate of incorporation or by-laws (or other organizational document) or any agreement between it and holders of its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use their reasonable best efforts to obtain the consent or approval of each governmental agency or authority, whether federal, state or local, which may be required to effect the Exchange Offer Registration, the Exchange Offer and the offering and sale of Exchange Notes by broker-dealers during the Resale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provide a CUSIP number for all Exchange Notes, not later than the applicable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comply with all applicable rules and regulations of the Commission, and make generally available to their securityholders as soon as practicable but no later than eighteen months after the effective date of such Exchange Offer Registration Statement, an earnings statement of a Parent (as defined in the Indenture) and its subsidiaries complying with Section 11(a) of the Securities Act (including, at the option of such Parent,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mail to each holder a copy of the prospectus forming part of the Exchange Offer Registration Statement, together with an appropriate letter of instruction and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utilize the services of a depositary for the Exchange Offer, which may be the Trustee, any new trustee under the Indenture, or an affiliate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permit holders to withdraw tendered Notes at any time prior to the close of business, New York City time, on the last business day on which the Exchange Offer is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prior to the Effective Time, provide a supplemental letter to the Commission (i) stating that the Issuers are conducting the Exchange Offer in reliance on the position of the Commission in Exxon Capital Holdings Corporation (pub. avail. May 13, 1988), Morgan Stanley and Co., Inc. (pub. avail. June 5, 1991); and (ii) including a representation that the Issuers have not entered into any arrangement or understanding with any person to distribute the Exchange Notes to be received in the Exchange Offer and that, to the best of the Issuers’ information and belief, each holder participating in the Exchange Offer is acquiring the Exchange Notes in the ordinary course of business and has no arrangement or understanding with any person to participate in the distribution of the Exchange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after the close of the Exchange Offer, the Issuers and the Guarantors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exchange all Registrable Securities tendered and not validly withdrawn pursuant to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 to the Trustee for cancellation all Notes so accepted for exchange;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cause the Trustee promptly to authenticate and deliver to each holder a principal amount of Exchange Notes equal to the principal amount of the Registrable Securities of such Holder so accepted for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the Issuers’ and the Guarantors’ obligations with respect to the Shelf Registration, if applicable, the Issuers and the Guarantors shall, as soon as practicable (or as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prepare and file with the Commission within the time periods specified in Section 2(b), a Shelf Registration Statement on any form which may be utilized by the Issuers and the Guarantors and which shall register all the Registrable Securities for resale by the holders thereof in accordance with such method or methods of disposition as may be specified by such of the holders as, from time to time, may be Electing Holders and use their reasonable best efforts to cause such Shelf Registration Statement to become or be declared effective within the time periods specified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 less than 30 calendar days prior to the Effective Time of the Shelf Registration Statement, mail the Notice and Questionnaire to the holders of Registrable Securities; no holder shall be entitled to be named as a selling securityholder in the Shelf Registration Statement as of the Effective Time, and no holder shall be entitled to use the prospectus forming a part thereof for resales of Registrable Securities at any time, unless such holder has returned a completed and signed Notice and Questionnaire to the Issuers by the deadline for response set forth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holders of Registrable Securities shall have at least 28 calendar days from the date on which the Notice and Questionnaire is first mailed to such holders to return a completed and signed Notice and Questionnaire to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after the Effective Time of the Shelf Registration Statement, upon the request of any holder of Registrable Securities that is not then an Electing Holder, promptly send a Notice and Questionnaire to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Issuers shall not be required to take any action to name such holder as a selling securityholder in the Shelf Registration Statement or to enable such holder to use the prospectus forming a part thereof for resales of Registrable Securities until such holder has returned a completed and signed Notice and Questionnaire to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practicable prepare and file with the Commission such amendments and supplements to such Shelf Registration Statement and the prospectus included therein as may be necessary to effect and maintain the effectiveness of such Shelf Registration Statement for the period specified in Section 2(b) and as may be required by the applicable rules and regulations of the Commission and the instructions applicable to the form of such Shelf Registration Statement, and furnish to the Electing Holders copies of any such supplement or amendment simultaneously with or prior to its being used or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comply with the provisions of the Securities Act with respect to the disposition of all the Registrable Securities covered by such Shelf Registration Statement in accordance with the intended methods of disposition by the Electing Holders provided for in such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provide (A) the Electing Holders, (B) the underwriters (which term, for purposes of this Agreement, shall include a person deemed to be an underwriter within the meaning of Section 2(a)(11) of the Securities Act), if any, thereof, (C) any sales or placement agent therefor, (D) counsel for any such underwriter or agent, (E) not more than one counsel for all the Electing Holders and (F) [RESERVED], in advance of filing thereof with the Commission, a draft of such Shelf Registration Statement, each prospectus included therein or filed with the Commission and each amendment or supplement thereto (including any documents incorporated by reference therein after the initial filing), in each case in substantially the form to be filed with the Commission, and shall use their commercially reasonable efforts to reflect in each such document, when so filed with the Commission, such comments as are reasonably proposed;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for a reasonable period prior to the filing of such Shelf Registration Statement, and throughout the period specified in Section 2(b), make available at reasonable times at each Issuer’s or each Guarantor’s principal place of business, or such other reasonable place for inspection by the persons referred to in Section 3(e)(vi) who shall certify to the Issuers and the Guarantors that they have a current intention to sell the Registrable Securities pursuant to the Shelf Registration, such financial and other relevant information and books and records of the Issuers and the Guarantors, each of their subsidiaries and, as relevant, Parent Companies, and cause each of their officers, employees, counsel and independent certified public accountants to supply all relevant information and to respond to such inquiries, as shall be reasonably necessary, in the judgment of the respective counsel referred to in such Section, to conduct a reasonable investigation within the meaning of Section 11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such party shall be required to maintain in confidence and not to disclose to any other person any information or records reasonably designated by the Issuers or any Guarantor as being confidential, until such time as (A) such information becomes a matter of public record (whether by virtue of its inclusion in such registration statement or otherwise, except as a result of a breach of this or any other obligation of confidentiality to the Issuers), or (B) such person shall be required so to disclose such information pursuant to a subpoena or order of any court or other governmental agency or body having jurisdiction over the matter (subject to the requirements of such order, and only after such person shall have given the Issuers prompt prior written notice of such requirement), or (C) such information is required to be set forth in such Shelf Registration Statement or the prospectus included therein or in an amendment to such Shelf Registration Statement or an amendment or supplement to such prospectus in order that such Shelf Registration Statement, prospectus, amendment or supplement, as the case may be, complies with applicable requirements of the federal securities laws and the rules and regulations of the Commission and does not contain an untrue statement of a material fact or omit to state therein a material fact required to be stated therein or necessary to make the statements therein not misleading in light of the circumstances then existing,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to the contrary in this clause (vii), any such person (and each employee, representative, or other agent of such person) may disclose to any and all persons, without limitation, the U.S. tax treatment and any facts that may be relevant to the tax structure of the matters covered by and relating to this Agreement (including opinions or other tax analysis that are provided to such party relating to such tax treatment and tax structure);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person (and no employee, representative, or other agent of any person) shall disclose any other information that is not relevant to understanding the tax treatment and tax structure of the matters covered by and relating to this Agreement (including the identity of any party and any information that could lead another to determine the identity of any party), or any other information to the extent that such non-disclosure is reasonably necessary in order to comply with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promptly notify each of the Dealer Managers, the Electing Holders, any sales or placement agent therefor and any underwriter thereof (which notification may be made through any managing underwriter that is a representative of such underwriter for such purpose) and confirm such advice in writing, (A) when such Shelf Registration Statement or the prospectus included therein or any prospectus amendment or supplement or post-effective amendment has been filed, and, with respect to such Shelf Registration Statement or any post-effective amendment, when the same has become effective, (B) of any comments by the Commission and by the blue sky or securities commissioner or regulator of any state with respect thereto, or any request by the Commission for amendments or supplements to such Shelf Registration Statement or prospectus or for additional information, (C) of the issuance by the Commission of any stop order suspending the effectiveness of such Shelf Registration Statement or the initiation or, to the knowledge of the Issuers and the Guarantors, threatening of any proceedings for that purpose, (D) if at any time the representations and warranties of the Issuers and the Guarantors contemplated by Section 3(e)(xvii) or Section 5 hereof cease to be true and correct in all material respects, (E) of the receipt by the Issuers of any notification with respect to the suspension of the qualification of the Registrable Securities for sale in any jurisdiction or the initiation or, to the knowledge of the Issuers, threatening of any proceeding for such purpose, or (F) if at any time when a prospectus is required to be delivered under the Securities Act, that such Shelf Registration Statement, prospectus, prospectus amendment or supplement or post-effective amendment does not conform in all material respects to the applicable requirements of the Securities Act and the Trust Indenture Act, or contains an untrue statement of a material fact or omits to state any material fact required to be stated therein or necessary to make the statements therein not misleading in light of the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use their reasonable best efforts to obtain the withdrawal of any order suspending the effectiveness of such Shelf Registration Statement or any post-effective amendment thereto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requested by any managing underwriter or underwriters, any placement or sales agent or any Electing Holder, promptly incorporate in a prospectus supplement or post-effective amendment such information as is required by the applicable rules and regulations of the Commission, and as such managing underwriter or underwriters, such agent or such Electing Holder specifies should be included therein relating to the terms of the sale of such Registrable Securities, including, without limitation, information (i) with respect to the principal amount of Registrable Securities being sold by such Electing Holder or agent or to any underwriters, the name and description of such Electing Holder, agent or underwriter, the offering price of such Registrable Securities, and any discount, commission or other compensation payable in respect thereof and the purchase price being paid therefor by such underwriters and (ii) with respect to any other material terms of the offering of the Registrable Securities to be sold by such Electing Holder or agent or to such underwriters; and make all required filings of such prospectus supplement or post-effective amendment upon notification of the matters to be incorporated in such prospectus supplement or post-effective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furnish to each Electing Holder, each placement or sales agent, if any, therefor, each underwriter, if any, thereof and the respective counsel referred to in Section 3(e)(vi) hereof an executed copy (or, in the case of an Electing Holder, a conformed copy) of such Shelf Registration Statement, each such amendment and supplement thereto (in each case including all exhibits thereto (in the case of an Electing Holder of Registrable Securities, upon request) and documents incorporated by reference therein) and such number of copies of such Shelf Registration Statement (excluding exhibits thereto and documents incorporated by reference therein unless specifically so requested by such Electing Holder, agent or underwriter, as the case may be) and of the prospectus included in such Shelf Registration Statement (including, without limitation, each preliminary prospectus and any summary prospectus), in conformity in all material respects with the applicable requirements of the Securities Act and the Trust Indenture Act, and such other documents, as such Electing Holder, agent, if any, and underwriter, if any, may reasonably request in order to facilitate the offering and disposition of the Registrable Securities owned by such Electing Holder, offered or sold by such agent or underwritten by such underwriter and to permit such Electing Holder, agent and underwriter to satisfy the prospectus delivery requirements of the Securities Act; and the Issuers and the Guarantors hereby consent to the use of such prospectus (including, without limitation, such preliminary and summary prospectus) and any amendment or supplement thereto by each such Electing Holder and by any such agent and underwriter, in each case in the form most recently provided to such person by the Issuers and the Guarantors, in connection with the offering and sale of the Registrable Securities covered by the prospectus (including, without limitation, such preliminary and summary prospectus) or any supplement or amendment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use their reasonable best efforts to (A) register or qualify the Registrable Securities to be included in such Shelf Registration Statement under such securities laws or blue sky laws of such jurisdictions as any Electing Holder and each placement or sales agent, if any, therefor and underwriter, if any, thereof shall reasonably request, (B) keep such registrations or qualifications in effect and comply with such laws so as to permit the continuance of offers, sales and dealings therein in such jurisdictions during the period the Shelf Registration is required to remain effective under Section 2(b) above and for so long as may be necessary to enable any such Electing Holder, agent or underwriter to complete its distribution of the Registrable Securities pursuant to such Shelf Registration Statement and (C) take any and all other actions as may be reasonably necessary or advisable to enable each such Electing Holder, agent, if any, and underwriter, if any, to consummate the disposition in such jurisdictions of such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of the Issuers or the Guarantors shall be required for any such purpose to (1) qualify as a foreign corporation or limited liability company, as the case may be, in any jurisdiction wherein it would not otherwise be required to qualify but for the requirements of this Section 3(d)(xii), (2) consent to general service of process in any such jurisdiction or (3) make any changes to its certificate of incorporation or by-laws (or other organizational document) or any agreement between it and holders of its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use their reasonable best efforts to obtain the consent or approval of each governmental agency or authority, whether federal, state or local, which may be required to effect the Shelf Registration or the offering or sale in connection therewith or to enable the selling holder or holders to offer, or to consummate the disposition of, their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unless any Registrable Securities shall be in book-entry only form, cooperate with the Electing Holders and the managing underwriters, if any, to facilitate the timely preparation and delivery of certificates representing Registrable Securities to be sold, which certificates, if so required by any securities exchange upon which any Registrable Securities are listed, shall be penned, lithographed or engraved, or produced by any combination of such methods, on steel engraved borders, and which certificates shall not bear any restrictive legends; and, in the case of an underwritten offering, enable such Registrable Securities to be in such denominations and registered in such names as the managing underwriters may request at least two business days prior to any sale of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provide a CUSIP number for all Registrable Securities, not later than the applicable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enter into one or more underwriting agreements, engagement letters, agency agreements, “best efforts” underwriting agreements or similar agreements, as appropriate, including customary provisions relating to indemnification and contribution (but no less favorable than those set forth in Section 6 with respect to all parties indemnified under Section 6), unless such provisions are acceptable to Electing Holders of at least 50% in aggregate principal amount of the Registrable Securities and any managing underwriters, and take such other actions in connection therewith as any Electing Holders of at least 20% in aggregate principal amount of the Registrable Securities at the time outstanding shall request in order to expedite or facilitate the disposition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whether or not an agreement of the type referred to in Section 3(e)(xvi) hereof is entered into, and whether or not any portion of the offering contemplated by the Shelf Registration is an underwritten offering or is made through a placement or sales agent or any other entity, (A) make such representations and warranties to the Electing Holders and the placement or sales agent, if any, therefor and the underwriters, if any, thereof in form, substance and scope as are customarily made in connection with an offering of debt securities pursuant to any appropriate agreement or to a registration statement filed on the form applicable to the Shelf Registration; (B) obtain an opinion of counsel to the Issuers and the Guarantors in customary form, subject to customary limitations, assumptions and exclusions, and covering such matters, of the type customarily covered by such an opinion, as the managing underwriters, if any, or as any Electing Holders of at least 20% in aggregate principal amount of the Registrable Securities at the time outstanding may reasonably request, addressed to such Electing Holder or Electing Holders and the placement or sales agent, if any, therefor and the underwriters, if any, thereof and dated the date of the Effective Time of such Shelf Registration Statement (and if such Shelf Registration Statement contemplates an underwritten offering of a part or all of the Registrable Securities, dated the date of the closing under the underwriting agreement relating thereto); (C) obtain a “cold comfort” letter or letters from the independent certified public accountants of the Issuers and the Guarantors addressed to the selling Electing Holders, the placement or sales agent, if any, therefor or the underwriters, if any, thereof, dated (i) the effective date of such Shelf Registration Statement and (ii) the effective date of any prospectus supplement to the prospectus included in such Shelf Registration Statement or post-effective amendment to such Shelf Registration Statement which includes unaudited or audited financial statements as of a date or for a period subsequent to that of the latest such statements included in such prospectus (and, if such Shelf Registration Statement contemplates an underwritten offering pursuant to any prospectus supplement to the prospectus included in such Shelf Registration Statement or post-effective amendment to such Shelf Registration Statement which includes unaudited or audited financial statements as of a date or for a period subsequent to that of the latest such statements included in such prospectus, dated the date of the closing under the underwriting agreement relating thereto), such letter or letters to be in customary form and covering such matters of the type customarily covered by letters of such type; (D) deliver such documents and certificates, including, without limitation, officers’ certificates, as may be reasonably requested by any Electing Holders of at least 20% in aggregate principal amount of the Registrable Securities at the time outstanding or the placement or sales agent, if any, therefor and the managing underwriters, if any, thereof to evidence the accuracy of the representations and warranties made pursuant to clause (A) above or those contained in Section 5(a) hereof and the compliance with or satisfaction of any agreements or conditions contained in the underwriting agreement or other similar agreement entered into by the Issuers and the Guarantors pursuant to Section 3(e)(xvi); and (E) undertake such obligations relating to expense reimbursement, indemnification and contribution as are provided in Section 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notify in writing each holder of Registrable Securities of any proposal by the Issuers and the Guarantors to amend or waive any provision of this Agreement pursuant to Section 9(h) hereof and of any amendment or waiver effected pursuant thereto, each of which notices shall contain the substance of the amendment or waiver proposed or effected,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in the event that any broker-dealer registered under the Exchange Act shall underwrite any Registrable Securities or participate as a member of an underwriting syndicate or selling group or “assist in the distribution” (within the meaning of the Conduct Rules (the “</w:t>
      </w:r>
      <w:r>
        <w:rPr>
          <w:rFonts w:ascii="Times New Roman;Times;Serif" w:hAnsi="Times New Roman;Times;Serif"/>
          <w:b w:val="false"/>
          <w:i w:val="false"/>
          <w:caps w:val="false"/>
          <w:smallCaps w:val="false"/>
          <w:sz w:val="20"/>
          <w:u w:val="single"/>
        </w:rPr>
        <w:t>Conduct Rules</w:t>
      </w:r>
      <w:r>
        <w:rPr>
          <w:rFonts w:ascii="Times New Roman;Times;Serif" w:hAnsi="Times New Roman;Times;Serif"/>
          <w:b w:val="false"/>
          <w:i w:val="false"/>
          <w:caps w:val="false"/>
          <w:smallCaps w:val="false"/>
          <w:sz w:val="20"/>
        </w:rPr>
        <w:t>”)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any successor thereto, as amended from time to time) thereof, whether as a holder of such Registrable Securities or as an underwriter, a placement or sales agent or a broker or dealer in respect thereof, or otherwise, assist such broker-dealer in complying with the requirements of such Conduct Rules, including, without limitation, by (A) if such Conduct Rules shall so require, engaging a “qualified independent underwriter” (as defined in such Conduct Rules) to participate in the preparation of the Shelf Registration Statement relating to such Registrable Securities, to exercise usual standards of due diligence in respect thereto and, if any portion of the offering contemplated by such Shelf Registration Statement is an underwritten offering or is made through a placement or sales agent, to recommend the yield of such Registrable Securities, (B) indemnifying any such qualified independent underwriter to the extent of the indemnification of underwriters provided in Section 6 hereof (or to such other customary extent as may be requested by such underwriter), and (C) providing such information to such broker-dealer as may be required in order for such broker-dealer to comply with the requirements of the Conduct Rules;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comply with all applicable rules and regulations of the Commission, and make generally available to its securityholders as soon as practicable but in any event not later than eighteen months after the effective date of such Shelf Registration Statement, an earnings statement of a Parent and its subsidiaries complying with Section 11(a) of the Securities Act (including, at the option of such Parent,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the Issuers or any Guarantor would be required, pursuant to Section 3(e)(viii)(F) hereof, to notify the Electing Holders, the placement or sales agent, if any, therefor and the managing underwriters, if any, thereof, the Issuers or such Guarantor shall prepare and furnish to each of the Electing Holders, to each placement or sales agent, if any, and to each such underwriter, if any, a reasonable number of copies of a prospectus supplemented or amended so that, as thereafter delivered to purchasers of Registrable Securities, such prospectus conforms in all material respects to the applicable requirements of the Securities Act and the Trust Indenture Act, and shall not contain an untrue statement of a material fact or omit to state a material fact required to be stated therein or necessary to make the statements therein not misleading in light of the circumstances then existing. Each Electing Holder agrees that upon receipt of any notice from the Issuers or the Guarantors pursuant to Section 3(e)(viii)(F) hereof, such Electing Holder shall forthwith discontinue the disposition of Registrable Securities pursuant to the Shelf Registration Statement applicable to such Registrable Securities until such Electing Holder shall have received copies of such amended or supplemented prospectus, and if so directed by the Issuers or the Guarantors, such Electing Holder shall deliver to the Issuers and the Guarantors (at the Issuers’ and each Guarantor’s expense) all copies, other than permanent file copies, then in such Electing Holder’s possession of the prospectus covering such Registrable Securities at the time of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of a Shelf Registration, in addition to the information required to be provided by each Electing Holder in its Notice and Questionnaire, the Issuers and the Guarantors may require such Electing Holder to furnish to the Issuers and the Guarantors such additional information regarding such Electing Holder and such Electing Holder’s intended method of distribution of Registrable Securities as may be required in order to comply with the Securities Act. Each such Electing Holder agrees to notify the Issuers and the Guarantors as promptly as practicable of any inaccuracy or change in information previously furnished by such Electing Holder to the Issuers and the Guarantors or of the occurrence of any event in either case as a result of which any prospectus relating to such Shelf Registration contains or would contain an untrue statement of a material fact regarding such Electing Holder or such Electing Holder’s intended method of disposition of such Registrable Securities or omits to state any material fact regarding such Electing Holder or such Electing Holder’s intended method of disposition of such Registrable Securities required to be stated therein or necessary to make the statements therein not misleading in light of the circumstances then existing, and promptly to furnish to the Issuers and the Guarantors any additional information required to correct and update any previously furnished information or required so that such prospectus shall not contain, with respect to such Electing Holder or the disposition of such Registrable Securities, an untrue statement of a material fact or omit to state a material fact required to be stated therein or necessary to make the statements therein not misleading in light of the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The Issuers and the Guarantors agree, subject to the last sentence of this Section 4, to bear and to pay or cause to be paid promptly all expenses incident to the Issuers’ and each Guarantor’s performance of or compliance with this Agreement, including, without limitation, (a) all Commission and any FINRA registration, filing and review fees and expenses including, without limitation, fees and disbursements of counsel for the placement or sales agent or underwriters in connection with such registration, filing and review, (b) all fees and expenses in connection with the qualification of the Notes for offering and sale under the securities laws and blue sky laws referred to in Section 3(e)(xii) hereof and determination of their eligibility for investment under the laws of such jurisdictions as any managing underwriters or the Electing Holders may designate, including, without limitation, any fees and disbursements of counsel for the Electing Holders or underwriters in connection with such qualification and determination, (c) all expenses relating to the preparation, printing, production, distribution and reproduction of each registration statement required to be filed hereunder, each prospectus included therein or prepared for distribution pursuant hereto, each amendment or supplement to the foregoing, the expenses of preparing the Notes for delivery and the expenses of printing or producing any underwriting agreements, agreements among underwriters, selling agreements and blue sky or legal investment memoranda and all other documents in connection with the offering, sale or delivery of Notes to be disposed of (including, without limitation, certificates representing the Notes), (d) messenger, telephone and delivery expenses relating to the offering, sale or delivery of Notes and the preparation of documents referred in clause (c) above, (e) fees and expenses of the Trustee under the Indenture, any agent of the Trustee and any reasonable fees and expenses for counsel for the Trustee and of any collateral agent or custodian, (f) internal expenses (including, without limitation, all salaries and expenses of each Issuer’s and each Guarantor’s officers and employees performing legal or accounting duties), (g) fees, disbursements and expenses of counsel and independent certified public accountants of the Issuers and the Guarantors (including, without limitation, the expenses of any opinions or “cold comfort” letters required by or incidental to such performance and compliance), (h) reasonable fees, disbursements and expenses of one counsel for the Electing Holders retained in connection with a Shelf Registration, as selected by the Electing Holders of at least a majority in aggregate principal amount of the Registrable Securities held by Electing Holders (which counsel shall be reasonably satisfactory to the Issuers and the Guarantors), (i) any fees charged by securities rating services engaged by the Issuers for rating the Notes, and (j) reasonable fees, expenses and disbursements of any other persons, including, without limitation, special experts, retained by the Issuers and the Guarantors in connection with such registration (collectively, the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To the extent that any Registration Expenses are incurred, assumed or paid by any holder of Registrable Securities or any placement or sales agent therefor or underwriter thereof, the Issuers and the Guarantors shall reimburse such person for the full amount of the Registration Expenses so incurred, assumed or paid promptly after receipt of a request therefor. Notwithstanding the foregoing, the holders of the Registrable Securities being registered shall pay all agency fees and commissions and underwriting discounts and commissions attributable to the sale of such Registrable Securities and the fees and disbursements of any counsel or other advisors or experts retained by such holders (severally or jointly), other than the counsel and experts specifically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Representations, Warranties and Covenants</w:t>
      </w:r>
      <w:r>
        <w:rPr>
          <w:rFonts w:ascii="Times New Roman;Times;Serif" w:hAnsi="Times New Roman;Times;Serif"/>
          <w:b w:val="false"/>
          <w:i w:val="false"/>
          <w:caps w:val="false"/>
          <w:smallCaps w:val="false"/>
          <w:sz w:val="20"/>
        </w:rPr>
        <w:t>. Except with respect to clauses (a) and (b) below, the Issuers and the Guarantors represent and warrant to, and agree with, each Dealer Manager and each of the holders from time to time of Registrable Securities the information set forth in this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clauses (a) and (b) below, the Issuers and the Guarantors covenant to each of the holders from time to time of Registrable Securities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registration statement covering Registrable Securities and each prospectus (including, without limitation, any preliminary or summary prospectus) contained therein or furnished pursuant to Section 3(e) or Section 3(c) hereof and any further amendments or supplements to any such registration statement or prospectus, when it becomes effective or is filed with the Commission, as the case may be, and, in the case of an underwritten offering of Registrable Securities, at the time of the closing under the underwriting agreement relating thereto, will conform in all material respects to the requirements of the Securities Act and the Trust Indenture Act and will not contain an untrue statement of a material fact or omit to state a material fact required to be stated therein or necessary to make the statements therein not misleading; and at all times subsequent to the Effective Time when a prospectus would be required to be delivered under the Securities Act, other than from (i) such time as a notice has been given to holders of Registrable Securities pursuant to Section 3(e)(viii)(F) or Section 3(c)(iii) hereof until (ii) such time as the Issuers and the Guarantors furnish an amended or supplemented prospectus pursuant to Section 3(f) or Section 3(c)(iii) hereof, each such registration statement, and each prospectus (including, without limitation, any preliminary or summary prospectus) contained therein or furnished pursuant to Section 3(e) or Section 3(c) hereof, as then amended or supplemented, will conform in all material respects to the requirements of the Securities Act and the Trust Indenture Act and will not contain an untrue statement of a material fact or omit to state a material fact required to be stated therein or necessary to make the statements therein not misleading in the light of the circumstances then existing;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covenant shall not apply to any statements or omissions made in reliance upon and in conformity with information furnished in writing to the Issuers and the Guarantors by a holder of Registrable Securities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documents incorporated by reference in any prospectus referred to in Section 5(a) hereof, when they become or became effective or are or were filed with the Commission, as the case may be, will conform or conformed in all material respects to the requirements of the Securities Act or the Exchange Act, as applicable, and none of such documents will contain or contained an untrue statement of a material fact or will omit or omitted to state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covenant shall not apply to any statements or omissions made in reliance upon and in conformity with information furnished in writing to the Issuers and the Guarantors by a holder of Registrable Securities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authorized, executed and delivered by the Issuers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and the Guarantors, jointly and severally, agree to indemnify and hold harmless each holder of Registrable Securities or Exchange Notes, as the case may be, covered by any Exchange Offer Registration Statement or Shelf Registration Statement (including each holder and, with respect to any prospectus delivery as contemplated in Section 3(c)(ii) or (iii) hereof, each holder that is a broker-dealer and elects to exchange for Exchange Notes any Registrable Securities that it acquired for its own account as a result of market-making activities or other trading activities (but not directly from the Issuers, the Guarantors or any affiliate of the Issuers) for Exchange Notes) (each an “</w:t>
      </w:r>
      <w:r>
        <w:rPr>
          <w:rFonts w:ascii="Times New Roman;Times;Serif" w:hAnsi="Times New Roman;Times;Serif"/>
          <w:b w:val="false"/>
          <w:i w:val="false"/>
          <w:caps w:val="false"/>
          <w:smallCaps w:val="false"/>
          <w:sz w:val="20"/>
          <w:u w:val="single"/>
        </w:rPr>
        <w:t>Exchanging Dealer</w:t>
      </w:r>
      <w:r>
        <w:rPr>
          <w:rFonts w:ascii="Times New Roman;Times;Serif" w:hAnsi="Times New Roman;Times;Serif"/>
          <w:b w:val="false"/>
          <w:i w:val="false"/>
          <w:caps w:val="false"/>
          <w:smallCaps w:val="false"/>
          <w:sz w:val="20"/>
        </w:rPr>
        <w:t xml:space="preserve">”), the affiliates, directors, officers, employees and agents of each such holder and each person who controls any such holder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Exchange Offer Registration Statement or Shelf Registration Statement as originally filed or in any amendment thereof, or in any preliminary prospectus or the prospectus included in any registration statement,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Issuers and the Guarantors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and the Guarantors by or on behalf of any such holder specifically for inclusion therein. This indemnity agreement will be in addition to any liability which the Issuers and the Guarantors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and the Guarantors, jointly and severally, also agree to indemnify or contribute as provided in Section 6(d) to Losses of any underwriter of Registrable Securities or Exchange Notes, as the case may be, registered under a Shelf Registration Statement, their directors, officers, employees or agents and each person who controls such underwriter within the meaning of either the Securities Act or the Exchange Act, on substantially the same basis as that of the indemnification of the selling holders provided in this Section 6(a) and shall, if requested by any holder, enter into an underwriting agreement reflecting such agreement, as provided in Section 3(e)(xvi)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holder of Registrable Securities or Exchange Notes covered by an Exchange Offer Registration Statement or Shelf Registration Statement (including, with respect to any prospectus delivery as contemplated in Section 3(c)(ii) or Section 3(f)(iv) hereof, each Exchanging Dealer) severally agrees to indemnify and hold harmless the Issuers and the Guarantors, and each of their affiliates, directors, employees, members, managers and agents and each Person who controls the Issuers and the Guarantors within the meaning of either the Securities Act or the Exchange Act, to the same extent as the foregoing indemnity from the Issuers and the Guarantors to each such holder, but only with reference to written information relating to such holder furnished to the Issuers and the Guarantors by or on behalf of such holder specifically for inclusion in the documents referred to in the foregoing indemnity. This indemnity agreement will be in addition to any liability which any such holder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this Section 6 or notice of the commencement of any action, such indemnified party will, if a claim in respect thereof is to be made against the indemnifying party under this Section 6, notify the indemnifying party in writing of the commencement thereof; but the failure so to notify the indemnifying party (i) will not relieve it from liability under paragraph (a) or (b) above unless and to the extent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except as provided in the next sentence, after notice from the indemnifying party to such indemnified party of its election to so assume the defense thereof, the indemnifying party shall not be liable to such indemnified party for any legal expenses of other counsel or any other expenses, in each case subsequently incurred by such indemnified party, in connection with the defense thereof other than reasonable costs of investigation. Notwithstanding the indemnifying party’s rights in the prior sentence, the indemnified party shall have the right to employ its own counsel (and one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in connection with any one action or separate but substantially similar or related actions in the same jurisdiction arising out of the same general circumstances or allegations, be liable for the fees and expenses of more than one separate firm of attorneys (in addition to any local counsel) for all indemnified parties. An indemnifying party shall not be liable under this Section 6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No indemnifying party shall, without the written consent of the indemnified party (which consent shall not be unreasonably withheld), effect any settlement of any pending or threatened proceeding in respect of which any indemnified party is or could have been a party and indemnification could have been sought hereunder by such indemnified party, unless such settlement (x) includes an unconditional release of such indemnified party, in form and substance reasonably satisfactory to such indemnified party, from all liability on claims that are the subject matter of such proceeding and (y) does not include any statement as to or any admission of fault, culpability or a failure to act by or on behalf of such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or (b) of this Section 6 is unavailable to or insufficient to hold harmless an indemnified party for any reason, then each applicable indemnifying party agrees to contribute to the aggregate losses, claims, damages and liabilities (including, without limitation, legal or other expenses reasonably incurred in connection with investigating or defending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to which such indemnifying party may be subject in such proportion as is appropriate to reflect the relative benefits received by the indemnifying party on the one hand and by the indemnified party on the other from the offering of the Notes.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indemnifying party on the one hand and the indemnified party on the other in connection with the statements or omissions which resulted in such losses, claims, damages or liabilities (or actions in respect thereof), as well as any other relevant equitable considerations. Benefits received by the Issuers shall be deemed to be equal to the sum of (x) the benefits received by the Issuers from the offering of the Notes or the Exchange Notes and (y) the total amount of Special Interest which the Issuers were not required to pay as a result of registering the securities covered by the Exchange Offer Registration Statement or Shelf Registration Statement which resulted in such Losses. Benefits received by any other holders shall be deemed to be equal to the proceeds received from the sale of the Registrable Securities or Exchange Notes, as applicable. Benefits received by any underwriter shall be deemed to be equal to the total underwriting discounts and commissions, as set forth in the prospectus forming a part of the Exchange Offer Registration Statement or Shelf Registration Statement which resulted in such Losses. The relative fault shall be determined by reference to, among other things, whether the untrue or alleged untrue statement of a material fact or the omission or alleged omission to state a material fact relates to information supplied by the indemnifying party on the one hand or the indemnified party on the other and the parties’ relative intent, knowledge, access to information and opportunity to correct or prevent such statement or omission. The parties agree that it would not be just and equitable if contribution pursuant to this subsection (d) were determined by pro rata allocation (even if the holders or any agents or underwriters or all of them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holder shall be required to contribute any amount in excess of the amount by which the dollar amount of the proceeds received by such holder from the sale of Registrable Securities (after deducting any fees, discounts and commissions applicable thereto) exceeds the amount of any damages which such holder has otherwise been required to pay by reason of such untrue or alleged untrue statement or omission or alleged omission, and no underwriter shall be required to contribute any amount in excess of the amount by which the total price of the Registrable Securities underwritten by it and distributed to the public exceeds the amount of any damages which such underwriter has otherwise been required to pay by reason of such untrue or alleged untrue statement or omission or alleged omission. The holders’ and any underwriters’ obligations in this subsection (d) to contribute are several in proportion to the principal amount of Registrable Securities registered or underwritten, as the case may be, by them, and not joint.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6, each person who controls any holder, agent or underwriter within the meaning of either the Securities Act or the Exchange Act and each director, officer, employee and agent of a holder, agent or underwriter shall have the same rights to contribution as such holder, agent or underwriter, and each person who controls the Issuers or the Guarantors within the meaning of either the Securities Act or the Exchange Act and each officer and director of the Issuers or the Guarantors shall have the same rights to contribution as the Issuers or the Guarantors, subject in each case to the applicable terms and conditions of this paragraph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Section will remain in full force and effect, regardless of any investigation made by or on behalf of any holder or the Issuers or the Guarantors or any of the officers, directors or controlling persons referred to in this Section hereof, and will survive the sale by a holder of securities covered by an Exchange Offer Registration Statement or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Underwritten Offerings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Selection of Underwriters</w:t>
      </w:r>
      <w:r>
        <w:rPr>
          <w:rFonts w:ascii="Times New Roman;Times;Serif" w:hAnsi="Times New Roman;Times;Serif"/>
          <w:b w:val="false"/>
          <w:i w:val="false"/>
          <w:caps w:val="false"/>
          <w:smallCaps w:val="false"/>
          <w:sz w:val="20"/>
        </w:rPr>
        <w:t xml:space="preserve">. If any of the Registrable Securities covered by the Shelf Registration are to be sold pursuant to an underwritten offering, the managing underwriter or underwriters thereof shall be designated by Electing Holders holding at least a majority in aggregate principal amount of the Registrable Securities to be included in such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designated managing underwriter or underwriters is or are reasonably acceptable to the Issuers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Participation by Holders</w:t>
      </w:r>
      <w:r>
        <w:rPr>
          <w:rFonts w:ascii="Times New Roman;Times;Serif" w:hAnsi="Times New Roman;Times;Serif"/>
          <w:b w:val="false"/>
          <w:i w:val="false"/>
          <w:caps w:val="false"/>
          <w:smallCaps w:val="false"/>
          <w:sz w:val="20"/>
        </w:rPr>
        <w:t>. Each holder of Registrable Securities hereby agrees with each other such holder that no such holder may participate in any underwritten offering hereunder unless such holder (i) agrees to sell such holder’s Registrable Securities on the basis provided in any underwriting arrangements with respect to such Registrable Securities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Issuers covenants to the holders of Registrable Securities that to the extent it shall be required to do so under the Exchange Act, it shall timely file the reports required to be filed by it under the Exchange Act or the Securities Act (including, without limitation, the reports under Section 13 and 15(d) of the Exchange Act referred to in subparagraph (c)(1) of Rule 144), and shall take such further action as any holder of Registrable Securities may reasonably request, all to the extent required from time to time to enable such holder to sell Registrable Securities without registration under the Securities Act within the limitations of the exemption provided by Rule 144, or any similar or successor rule or regulation hereafter adopted by the Commission. Upon the request of any holder of Registrable Securities in connection with that holder’s sale pursuant to Rule 144, the Issuers shall deliver to such holder a written statement as to whether they have complied with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while any of the Notes are “restricted securities” within the meaning of Rule 144, if the Issuers are no longer subject to the reporting requirements of Section 13 or 15(d) of the Exchange Act (as opposed to just having the obligations suspended), the Issuers or a Parent shall prepare and furnish to any Holder, any beneficial owner of the Notes and any prospective purchaser of Notes designated by a Holder or a beneficial owner of the Notes, promptly upon request, the information required pursuant to Rule 144A(d)(4) (or any successor thereto) under the Securities Act in connection with the offer, sale or transfer of Notes. Such information may be provided by a Parent in filings with the Commission which filing shall satisfy the obligations set forth in this clause (b). The requirements set forth in this clause (b) will not be applicable after the one year anniversary of the issuance of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The Issuers and the Guarantors represent, warrant, covenant and agree that they have not granted, and shall not grant, registration rights with respect to Registrable Securities or any other Notes which would be inconsistent with the terms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Except with respect to a Registration Default, the parties hereto acknowledge that there would be no adequate remedy at law if the Issuers or the Guarantors fail to perform any of their obligations hereunder and that the Dealer Managers and the holders from time to time of the Registrable Securities may be irreparably harmed by any such failure, and accordingly agree that the Dealer Managers and such holders, in addition to any other remedy to which they may be entitled at law or in equity, shall be entitled to compel specific performance of the obligations of the Issuers or the Guarantors under this Agreement in accordance with the terms and conditions of this Agreement, in any court of the United States or any State thereof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waivers and other communications hereunder shall be in writing and shall be deemed to have been duly given (i) when delivered by hand, if delivered personally or by courier, (ii) when sent by facsimile (with written confirmation of receipt),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copy is mailed by registered or certified mail, return receipt requested or (iii) three days after being deposited in the mail (registered or certified mail, postage prepaid, return receipt requested) as follows: if to the Issuers, c/o Charter Communications, Inc., 400 Washington Blvd., Stamford, Connecticut 06902, Attention: General Counsel, Electronic Mail: </w:t>
      </w:r>
      <w:r>
        <w:rPr>
          <w:rFonts w:ascii="Times New Roman;Times;Serif" w:hAnsi="Times New Roman;Times;Serif"/>
          <w:b w:val="false"/>
          <w:i w:val="false"/>
          <w:caps w:val="false"/>
          <w:smallCaps w:val="false"/>
          <w:sz w:val="20"/>
          <w:u w:val="single"/>
        </w:rPr>
        <w:t>jamal.haughton@charter.com</w:t>
      </w:r>
      <w:r>
        <w:rPr>
          <w:rFonts w:ascii="Times New Roman;Times;Serif" w:hAnsi="Times New Roman;Times;Serif"/>
          <w:b w:val="false"/>
          <w:i w:val="false"/>
          <w:caps w:val="false"/>
          <w:smallCaps w:val="false"/>
          <w:sz w:val="20"/>
        </w:rPr>
        <w:t xml:space="preserve">; with a Copy to: </w:t>
      </w:r>
      <w:r>
        <w:rPr>
          <w:rFonts w:ascii="Times New Roman;Times;Serif" w:hAnsi="Times New Roman;Times;Serif"/>
          <w:b w:val="false"/>
          <w:i w:val="false"/>
          <w:caps w:val="false"/>
          <w:smallCaps w:val="false"/>
          <w:sz w:val="20"/>
          <w:u w:val="single"/>
        </w:rPr>
        <w:t>LegalNotices@charter.com</w:t>
      </w:r>
      <w:r>
        <w:rPr>
          <w:rFonts w:ascii="Times New Roman;Times;Serif" w:hAnsi="Times New Roman;Times;Serif"/>
          <w:b w:val="false"/>
          <w:i w:val="false"/>
          <w:caps w:val="false"/>
          <w:smallCaps w:val="false"/>
          <w:sz w:val="20"/>
        </w:rPr>
        <w:t>, with a copy to: Kirkland &amp; Ellis LLP, 601 Lexington Avenue, New York, NY 10022, Facsimile: (212) 446-4900, Attention: Christian O. Nagler, P.C. and if to a holder, to the address of such holder set forth in the security register or other records of the Issuers, or to such other address as the Issuers or any such holder may have furnished to the other in writing in accordance herewith, with a copy in like manner as set forth in Schedule 2 hereto. Notices of change of address shall be effective only upon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All the terms and provisions of this Agreement shall be binding upon, shall inure to the benefit of and shall be enforceable by the parties hereto and the holders from time to time of the Registrable Securities and the respective successors and assigns of the parties hereto and such holders. In the event that any person shall acquire Registrable Securities, in any manner, whether by gift, bequest, purchase, operation of law or otherwise, such transferee shall, without any further writing or action of any kind, be deemed a beneficiary hereof for all purposes and such Registrable Securities shall be held subject to all the terms of this Agreement, and by taking and holding such Registrable Securities such transferee shall be entitled to receive the benefits, and be conclusively deemed to have agreed to be bound by all the applicable terms and provisions, of this Agreement. If the Issuers or the Guarantors shall so request, any such successor, assign or transferee shall agree in writing to acquire and hold the Registrable Securities subject to all the applicable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agreements, representations, warranties and each other provision set forth in this Agreement or made pursuant hereto shall remain in full force and effect regardless of any investigation (or statement as to the results thereof) made by or on behalf of any holder of Registrable Securities, any director, officer or partner of such holder, any agent or underwriter or any director, officer or partner thereof, or any controlling person of any of the foregoing, and shall survive delivery of and payment for the Registrable Securities pursuant to the Dealer Manager Agreement and the transfer and registration of Registrable Securities by such holder and the consummation of an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descriptive headings of the several Sections and paragraphs of this Agreement are inserted for convenience only, do not constitute a part of this Agreement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other writings referred to herein (including, without limitation, the Indenture and the form of Notes) or delivered pursuant hereto which form a part hereof contain the entire understanding of the parties with respect to its subject matter. This Agreement supersedes all prior agreements and understandings between the parties with respect to its subject matter. This Agreement may be amended and the observance of any term of this Agreement may be waived (either generally or in a particular instance and either retroactively or prospectively) only by a written instrument duly executed by the Issuers and the Guarantors and the holders of at least a majority in aggregate principal amount of the Registrable Securities at the time outstanding. Each holder of any Registrable Securities at the time or thereafter outstanding shall be bound by any amendment or waiver effected pursuant to this Section 9(h), whether or not any notice, writing or marking indicating such amendment or waiver appears on such Registrable Securities or is delivered to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Inspection</w:t>
      </w:r>
      <w:r>
        <w:rPr>
          <w:rFonts w:ascii="Times New Roman;Times;Serif" w:hAnsi="Times New Roman;Times;Serif"/>
          <w:b w:val="false"/>
          <w:i w:val="false"/>
          <w:caps w:val="false"/>
          <w:smallCaps w:val="false"/>
          <w:sz w:val="20"/>
        </w:rPr>
        <w:t>. For so long as this Agreement shall be in effect, this Agreement and a complete list of the names and addresses of all the holders of Registrable Securities shall be made available for inspection and copying, upon reasonable prior notice, on any business day during normal business hours by any holder of Registrable Securities for proper purposes only (which shall include any purpose related to the rights of the holders of Registrable Securities under the Notes, the Indenture and this Agreement) at the offices of the Issuers at the address thereof set forth in Section 9(c) above and at the office of the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the parties in counterparts, each of which shall be deemed to be an original, but all such respective counterparts shall together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one or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Securities Held by the Issuers, etc</w:t>
      </w:r>
      <w:r>
        <w:rPr>
          <w:rFonts w:ascii="Times New Roman;Times;Serif" w:hAnsi="Times New Roman;Times;Serif"/>
          <w:b w:val="false"/>
          <w:i w:val="false"/>
          <w:caps w:val="false"/>
          <w:smallCaps w:val="false"/>
          <w:sz w:val="20"/>
        </w:rPr>
        <w:t>. Whenever the consent or approval of holders of a specified percentage of principal amount of Registrable Securities or Exchange Notes is required hereunder, Registrable Securities or Exchange Notes, as applicable, held by the Issuers or their affiliates (controlled by the Issuers and other than subsequent holders of Registrable Securities or Exchange Notes if such subsequent holders are deemed to be affiliates solely by reason of their holdings of such Registrable Securities or Exchange Notes) shall not be counted in determining whether such consent or approval was given by the holders of such required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Notwithstanding anything contained herein, any registration statement and exchange offer herein contemplated may include other securities issued by the Issuers and guaranteed by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obligations of the Issuers and the Guarantors under this Agreement to register or qualify the Registrable Securities or otherwise make any offer shall terminate when there are no Registrable Securities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Release of Guarantors</w:t>
      </w:r>
      <w:r>
        <w:rPr>
          <w:rFonts w:ascii="Times New Roman;Times;Serif" w:hAnsi="Times New Roman;Times;Serif"/>
          <w:b w:val="false"/>
          <w:i w:val="false"/>
          <w:caps w:val="false"/>
          <w:smallCaps w:val="false"/>
          <w:sz w:val="20"/>
        </w:rPr>
        <w:t>. Notwithstanding anything herein to the contrary, if a Guarantor is released from its obligations under the Indenture in accordance with the terms thereof, such Guarantor shall be automatically released from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counterparts hereof, and upon the acceptance hereof by you, on behalf of each of the Dealer Managers, this Agreement and such acceptance hereof shall constitute a binding agreement among the parties hereto. It is understood that your acceptance of this Agreement on behalf of each of the Dealer Managers is pursuant to the authority set forth in a form of agreement among Dealer Managers, the form of which shall be submitted to the Issuers and the Guarantors for examination upon request, but without warranty on your part as to the authority of the signers thereof.</w:t>
      </w:r>
    </w:p>
    <w:p>
      <w:pPr>
        <w:pStyle w:val="TextBody"/>
        <w:bidi w:val="0"/>
        <w:spacing w:before="0" w:after="0"/>
        <w:ind w:left="0" w:right="0" w:hanging="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75"/>
        <w:gridCol w:w="356"/>
        <w:gridCol w:w="606"/>
        <w:gridCol w:w="5401"/>
      </w:tblGrid>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 , as an Issuer</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0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 as an Issuer</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0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LISTED ON SCHEDULE I HERETO</w:t>
            </w:r>
          </w:p>
        </w:tc>
      </w:tr>
      <w:tr>
        <w:trPr/>
        <w:tc>
          <w:tcPr>
            <w:tcW w:w="75" w:type="dxa"/>
            <w:tcBorders/>
            <w:vAlign w:val="center"/>
          </w:tcPr>
          <w:p>
            <w:pPr>
              <w:pStyle w:val="TableContents"/>
              <w:bidi w:val="0"/>
              <w:spacing w:before="0" w:after="283"/>
              <w:jc w:val="left"/>
              <w:rPr/>
            </w:pPr>
            <w:r>
              <w:rPr/>
              <w:t> </w:t>
            </w:r>
          </w:p>
        </w:tc>
        <w:tc>
          <w:tcPr>
            <w:tcW w:w="636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0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B. Murphy</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B. Murphy</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Corporate Finance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hereof:</w:t>
      </w:r>
    </w:p>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448"/>
        <w:gridCol w:w="730"/>
        <w:gridCol w:w="2096"/>
        <w:gridCol w:w="75"/>
      </w:tblGrid>
      <w:tr>
        <w:trPr/>
        <w:tc>
          <w:tcPr>
            <w:tcW w:w="327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Masid Cader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Masid Cader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D. Bordner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 Bordner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Passafuime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Passafuime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2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Brendan Reen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Brendan Reen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259" w:type="dxa"/>
        <w:jc w:val="left"/>
        <w:tblInd w:w="0" w:type="dxa"/>
        <w:tblLayout w:type="fixed"/>
        <w:tblCellMar>
          <w:top w:w="0" w:type="dxa"/>
          <w:left w:w="0" w:type="dxa"/>
          <w:bottom w:w="0" w:type="dxa"/>
          <w:right w:w="0" w:type="dxa"/>
        </w:tblCellMar>
      </w:tblPr>
      <w:tblGrid>
        <w:gridCol w:w="428"/>
        <w:gridCol w:w="697"/>
        <w:gridCol w:w="2059"/>
        <w:gridCol w:w="75"/>
      </w:tblGrid>
      <w:tr>
        <w:trPr/>
        <w:tc>
          <w:tcPr>
            <w:tcW w:w="318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Ritu Ketkar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Ritu Ketkar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Montgomery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Montgomery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Rost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Rost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Som Bhattacharyya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 Bhattacharyya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4"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Harwood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Harwood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6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10" w:type="dxa"/>
        <w:tblLayout w:type="fixed"/>
        <w:tblCellMar>
          <w:top w:w="28" w:type="dxa"/>
          <w:left w:w="108" w:type="dxa"/>
          <w:bottom w:w="160" w:type="dxa"/>
          <w:right w:w="108" w:type="dxa"/>
        </w:tblCellMar>
      </w:tblPr>
      <w:tblGrid>
        <w:gridCol w:w="2480"/>
        <w:gridCol w:w="3650"/>
      </w:tblGrid>
      <w:tr>
        <w:trPr/>
        <w:tc>
          <w:tcPr>
            <w:tcW w:w="24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Dealer Managers</w:t>
            </w:r>
          </w:p>
        </w:tc>
        <w:tc>
          <w:tcPr>
            <w:tcW w:w="36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for Notices</w:t>
            </w:r>
          </w:p>
        </w:tc>
      </w:tr>
      <w:tr>
        <w:trPr/>
        <w:tc>
          <w:tcPr>
            <w:tcW w:w="24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Barclays Capital Inc.</w:t>
            </w:r>
          </w:p>
        </w:tc>
        <w:tc>
          <w:tcPr>
            <w:tcW w:w="36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 5th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528-7581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(800) 438-3242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(646) 834-0584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tc>
      </w:tr>
      <w:tr>
        <w:trPr/>
        <w:tc>
          <w:tcPr>
            <w:tcW w:w="24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Global Markets Inc.</w:t>
            </w:r>
          </w:p>
        </w:tc>
        <w:tc>
          <w:tcPr>
            <w:tcW w:w="36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 Trading 4th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(212) 723-6106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(800) 558-3745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ny.liabilitymanagement@citi.com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tc>
      </w:tr>
      <w:tr>
        <w:trPr/>
        <w:tc>
          <w:tcPr>
            <w:tcW w:w="24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&amp; Co. LLC</w:t>
            </w:r>
          </w:p>
        </w:tc>
        <w:tc>
          <w:tcPr>
            <w:tcW w:w="36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6th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(212) 761-1057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(800) 624-1808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LMNY@morganstanley.com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tc>
      </w:tr>
      <w:tr>
        <w:trPr/>
        <w:tc>
          <w:tcPr>
            <w:tcW w:w="24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BofA Securities, Inc.</w:t>
            </w:r>
          </w:p>
        </w:tc>
        <w:tc>
          <w:tcPr>
            <w:tcW w:w="36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S. Tryon Street, 20th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28255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debt_advisory@bofa.com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tc>
      </w:tr>
      <w:tr>
        <w:trPr/>
        <w:tc>
          <w:tcPr>
            <w:tcW w:w="24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Securities Inc.</w:t>
            </w:r>
          </w:p>
        </w:tc>
        <w:tc>
          <w:tcPr>
            <w:tcW w:w="36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Columbus Circle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Mgt.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at the same address 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dbcapmarkets.genotices@list.db.com</w:t>
            </w:r>
          </w:p>
        </w:tc>
      </w:tr>
      <w:tr>
        <w:trPr/>
        <w:tc>
          <w:tcPr>
            <w:tcW w:w="248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r>
          </w:p>
        </w:tc>
        <w:tc>
          <w:tcPr>
            <w:tcW w:w="365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10282-2198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Toll-Free: (800) 828-3182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(212) 357-1452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tc>
      </w:tr>
    </w:tbl>
    <w:p>
      <w:pPr>
        <w:pStyle w:val="TextBody"/>
        <w:bidi w:val="0"/>
        <w:spacing w:before="0" w:after="283"/>
        <w:jc w:val="left"/>
        <w:rPr/>
      </w:pPr>
      <w:r>
        <w:rPr/>
        <w:t> </w:t>
      </w:r>
    </w:p>
    <w:p>
      <w:pPr>
        <w:pStyle w:val="TextBody"/>
        <w:bidi w:val="0"/>
        <w:jc w:val="center"/>
        <w:rPr/>
      </w:pPr>
      <w:r>
        <w:rPr/>
        <w:t>Schedule 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10" w:type="dxa"/>
        <w:jc w:val="left"/>
        <w:tblInd w:w="-10" w:type="dxa"/>
        <w:tblLayout w:type="fixed"/>
        <w:tblCellMar>
          <w:top w:w="28" w:type="dxa"/>
          <w:left w:w="108" w:type="dxa"/>
          <w:bottom w:w="28" w:type="dxa"/>
          <w:right w:w="108" w:type="dxa"/>
        </w:tblCellMar>
      </w:tblPr>
      <w:tblGrid>
        <w:gridCol w:w="2315"/>
        <w:gridCol w:w="3695"/>
      </w:tblGrid>
      <w:tr>
        <w:trPr/>
        <w:tc>
          <w:tcPr>
            <w:tcW w:w="23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Securities LLC</w:t>
            </w:r>
          </w:p>
        </w:tc>
        <w:tc>
          <w:tcPr>
            <w:tcW w:w="3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(866) 834-4666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JPM_LM@jpmorgan.com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Desk</w:t>
            </w:r>
          </w:p>
        </w:tc>
      </w:tr>
      <w:tr>
        <w:trPr/>
        <w:tc>
          <w:tcPr>
            <w:tcW w:w="23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Securities, LLC</w:t>
            </w:r>
          </w:p>
        </w:tc>
        <w:tc>
          <w:tcPr>
            <w:tcW w:w="36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Tryon Street, 5th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liabilitymanagement@wellsfargo.com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br/>
        <w:t>CHARTER COMMUNICATIONS OPERATING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TO DTC PARTICIPANTS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Mailing)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URGENT — IMMEDIATE ATTENTION REQUESTED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DEADLINE FOR RESPONSE: [DATE]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has identified you as a DTC Participant through which beneficial interests in the Charter Communications Operating, LLC (“</w:t>
      </w:r>
      <w:r>
        <w:rPr>
          <w:rFonts w:ascii="Times New Roman;Times;Serif" w:hAnsi="Times New Roman;Times;Serif"/>
          <w:b w:val="false"/>
          <w:i w:val="false"/>
          <w:caps w:val="false"/>
          <w:smallCaps w:val="false"/>
          <w:sz w:val="20"/>
          <w:u w:val="single"/>
        </w:rPr>
        <w:t>CCO</w:t>
      </w:r>
      <w:r>
        <w:rPr>
          <w:rFonts w:ascii="Times New Roman;Times;Serif" w:hAnsi="Times New Roman;Times;Serif"/>
          <w:b w:val="false"/>
          <w:i w:val="false"/>
          <w:caps w:val="false"/>
          <w:smallCaps w:val="false"/>
          <w:sz w:val="20"/>
        </w:rPr>
        <w:t>”) and Charter Communications Operating Capital Corp. (together with CCO,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[7.087][7.337]% Senior Secured Notes due [2038][2041]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are held.</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are in the process of registering the Notes under the Securities Act of 1933, as amended, for resale by the beneficial owners thereof. In order to have their Notes included in the registration statement, beneficial owners must complete and return the enclosed Notice of Registration Statement and Selling Securityholder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important that beneficial owners of the Notes receive a copy of the enclosed materials as soon as possible as their rights to have the Notes included in the registration statement depend upon their returning the Notice and Questionnaire by [Deadline For Response]. Please forward a copy of the enclosed documents to each beneficial owner that holds interests in the Notes through you. If you require more copies of the enclosed materials or have any questions pertaining to this matter, please contact the Issuers c/o Charter Communications, Inc., 400 Washington Blvd., Stamford, Connecticut 06902, Attention: General Counsel, Electronic Mail: jamal.haughton@charter.com; with a Copy to: </w:t>
      </w:r>
      <w:r>
        <w:rPr>
          <w:rFonts w:ascii="Times New Roman;Times;Serif" w:hAnsi="Times New Roman;Times;Serif"/>
          <w:b w:val="false"/>
          <w:i w:val="false"/>
          <w:caps w:val="false"/>
          <w:smallCaps w:val="false"/>
          <w:sz w:val="20"/>
          <w:u w:val="single"/>
        </w:rPr>
        <w:t>LegalNotices@charter.com</w:t>
      </w:r>
      <w:r>
        <w:rPr>
          <w:rFonts w:ascii="Times New Roman;Times;Serif" w:hAnsi="Times New Roman;Times;Serif"/>
          <w:b w:val="false"/>
          <w:i w:val="false"/>
          <w:caps w:val="false"/>
          <w:smallCaps w:val="false"/>
          <w:sz w:val="20"/>
        </w:rPr>
        <w:t>, with a copy to: Kirkland &amp; Ellis LLP, 601 Lexington Avenue, New York, NY 10022, Facsimile: (212) 446-4900, Attention: Christian O. Nagler, P.C.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133" w:type="dxa"/>
        <w:jc w:val="left"/>
        <w:tblInd w:w="0" w:type="dxa"/>
        <w:tblLayout w:type="fixed"/>
        <w:tblCellMar>
          <w:top w:w="0" w:type="dxa"/>
          <w:left w:w="0" w:type="dxa"/>
          <w:bottom w:w="0" w:type="dxa"/>
          <w:right w:w="0" w:type="dxa"/>
        </w:tblCellMar>
      </w:tblPr>
      <w:tblGrid>
        <w:gridCol w:w="38"/>
        <w:gridCol w:w="14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4955" w:type="dxa"/>
            <w:tcBorders/>
            <w:vAlign w:val="center"/>
          </w:tcPr>
          <w:p>
            <w:pPr>
              <w:pStyle w:val="TableContents"/>
              <w:bidi w:val="0"/>
              <w:spacing w:before="0" w:after="283"/>
              <w:jc w:val="both"/>
              <w:rPr/>
            </w:pPr>
            <w:r>
              <w:rPr/>
              <w:t>Not less than 28 calendar days from date of mailing.</w:t>
            </w:r>
          </w:p>
        </w:tc>
      </w:tr>
    </w:tbl>
    <w:p>
      <w:pPr>
        <w:pStyle w:val="TextBody"/>
        <w:bidi w:val="0"/>
        <w:spacing w:before="0" w:after="283"/>
        <w:jc w:val="left"/>
        <w:rPr/>
      </w:pPr>
      <w:r>
        <w:rPr/>
        <w:t> </w:t>
      </w:r>
    </w:p>
    <w:tbl>
      <w:tblPr>
        <w:tblW w:w="3423" w:type="dxa"/>
        <w:jc w:val="left"/>
        <w:tblInd w:w="0" w:type="dxa"/>
        <w:tblLayout w:type="fixed"/>
        <w:tblCellMar>
          <w:top w:w="0" w:type="dxa"/>
          <w:left w:w="0" w:type="dxa"/>
          <w:bottom w:w="0" w:type="dxa"/>
          <w:right w:w="0" w:type="dxa"/>
        </w:tblCellMar>
      </w:tblPr>
      <w:tblGrid>
        <w:gridCol w:w="38"/>
        <w:gridCol w:w="14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3245" w:type="dxa"/>
            <w:tcBorders/>
            <w:vAlign w:val="center"/>
          </w:tcPr>
          <w:p>
            <w:pPr>
              <w:pStyle w:val="TableContents"/>
              <w:bidi w:val="0"/>
              <w:spacing w:before="0" w:after="283"/>
              <w:jc w:val="both"/>
              <w:rPr/>
            </w:pPr>
            <w:r>
              <w:rPr/>
              <w:t>Select appropriate series of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br/>
        <w:t>CHARTER COMMUNICATIONS OPERATING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Registration Statement</w:t>
        <w:br/>
        <w:t>and</w:t>
        <w:br/>
        <w:t>Selling Securityholder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Exchange and Registration Rights Agreement (the “</w:t>
      </w:r>
      <w:r>
        <w:rPr>
          <w:rFonts w:ascii="Times New Roman;Times;Serif" w:hAnsi="Times New Roman;Times;Serif"/>
          <w:b w:val="false"/>
          <w:i w:val="false"/>
          <w:caps w:val="false"/>
          <w:smallCaps w:val="false"/>
          <w:sz w:val="20"/>
          <w:u w:val="single"/>
        </w:rPr>
        <w:t>Exchange and Registration Rights Agreement</w:t>
      </w:r>
      <w:r>
        <w:rPr>
          <w:rFonts w:ascii="Times New Roman;Times;Serif" w:hAnsi="Times New Roman;Times;Serif"/>
          <w:b w:val="false"/>
          <w:i w:val="false"/>
          <w:caps w:val="false"/>
          <w:smallCaps w:val="false"/>
          <w:sz w:val="20"/>
        </w:rPr>
        <w:t>”) among Charter Communications Operating, LLC (“</w:t>
      </w:r>
      <w:r>
        <w:rPr>
          <w:rFonts w:ascii="Times New Roman;Times;Serif" w:hAnsi="Times New Roman;Times;Serif"/>
          <w:b w:val="false"/>
          <w:i w:val="false"/>
          <w:caps w:val="false"/>
          <w:smallCaps w:val="false"/>
          <w:sz w:val="20"/>
          <w:u w:val="single"/>
        </w:rPr>
        <w:t>CCO</w:t>
      </w:r>
      <w:r>
        <w:rPr>
          <w:rFonts w:ascii="Times New Roman;Times;Serif" w:hAnsi="Times New Roman;Times;Serif"/>
          <w:b w:val="false"/>
          <w:i w:val="false"/>
          <w:caps w:val="false"/>
          <w:smallCaps w:val="false"/>
          <w:sz w:val="20"/>
        </w:rPr>
        <w:t>”), Charter Communications Operating Capital Corp. (together with CCO,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and the Dealer Managers named therein. Pursuant to the Exchange and Registration Rights Agreement, the Issuers have filed with the United States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on Form S-1 (the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for the registration and resale under Rule 415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Issuers’ [7.087][7.337]% Senior Secured Notes due [2038][2041]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 copy of the Exchange and Registration Rights Agreement is attached hereto. All capitalized terms not otherwise defined herein shall have the meanings ascribed thereto in the Exchange and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beneficial owner of Registrable Securities is entitled to have the Registrable Securities beneficially owned by it included in the Shelf Registration Statement. In order to have Registrable Securities included in the Shelf Registration Statement, this Notice of Registration Statement and Selling Securityholder Questionnaire (“</w:t>
      </w:r>
      <w:r>
        <w:rPr>
          <w:rFonts w:ascii="Times New Roman;Times;Serif" w:hAnsi="Times New Roman;Times;Serif"/>
          <w:b w:val="false"/>
          <w:i w:val="false"/>
          <w:caps w:val="false"/>
          <w:smallCaps w:val="false"/>
          <w:sz w:val="20"/>
          <w:u w:val="single"/>
        </w:rPr>
        <w:t>Notice and Questionnaire</w:t>
      </w:r>
      <w:r>
        <w:rPr>
          <w:rFonts w:ascii="Times New Roman;Times;Serif" w:hAnsi="Times New Roman;Times;Serif"/>
          <w:b w:val="false"/>
          <w:i w:val="false"/>
          <w:caps w:val="false"/>
          <w:smallCaps w:val="false"/>
          <w:sz w:val="20"/>
        </w:rPr>
        <w:t>”) must be completed, executed and delivered to the Issuers’ counsel at the address set forth herein for receipt ON OR BEFORE [Deadline for Response]. Beneficial owners of Registrable Securities who do not complete, execute and return this Notice and Questionnaire by such date (i) will not be named as selling securityholders in the Shelf Registration Statement and (ii) may not use the Prospectus forming a part thereof for resales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securityholder in the Shelf Registration Statement and related prospectus. Accordingly, holders and beneficial owners of Registrable Securities are advised to consult their own securities law counsel regarding the consequences of being named or not being named as a selling securityholder in the Shelf Registration Statement and related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3423" w:type="dxa"/>
        <w:jc w:val="left"/>
        <w:tblInd w:w="0" w:type="dxa"/>
        <w:tblLayout w:type="fixed"/>
        <w:tblCellMar>
          <w:top w:w="0" w:type="dxa"/>
          <w:left w:w="0" w:type="dxa"/>
          <w:bottom w:w="0" w:type="dxa"/>
          <w:right w:w="0" w:type="dxa"/>
        </w:tblCellMar>
      </w:tblPr>
      <w:tblGrid>
        <w:gridCol w:w="38"/>
        <w:gridCol w:w="14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3245" w:type="dxa"/>
            <w:tcBorders/>
            <w:vAlign w:val="center"/>
          </w:tcPr>
          <w:p>
            <w:pPr>
              <w:pStyle w:val="TableContents"/>
              <w:bidi w:val="0"/>
              <w:spacing w:before="0" w:after="283"/>
              <w:jc w:val="both"/>
              <w:rPr/>
            </w:pPr>
            <w:r>
              <w:rPr/>
              <w:t>Select appropriate series of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(the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of Registrable Securities hereby elects to include in the Shelf Registration Statement the Registrable Securities beneficially owned by it and listed below in Item (3). The undersigned, by signing and returning this Notice and Questionnaire, agrees to be bound with respect to such Registrable Securities by the terms and conditions of this Notice and Questionnaire and the Exchange and Registration Rights Agreement, including, without limitation, Section 6 of the Exchange and Registration Rights Agreement, as if the undersigned Selling Securityholder were an original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of Registrable Securities pursuant to the Shelf Registration Statement, the Selling Securityholder will be required to deliver to the Issuers and the Trustee the Notice of Transfer Pursuant to Registration Statement set forth in Exhibit B to the Exchange and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hereby provides the following information to the Issuers and represents and warrants that such information is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QUESTIONNAIRE</w:t>
      </w:r>
    </w:p>
    <w:p>
      <w:pPr>
        <w:pStyle w:val="TextBody"/>
        <w:bidi w:val="0"/>
        <w:spacing w:before="0" w:after="0"/>
        <w:ind w:left="0" w:right="0" w:hanging="0"/>
        <w:jc w:val="left"/>
        <w:rPr>
          <w:caps w:val="false"/>
          <w:smallCaps w:val="false"/>
        </w:rPr>
      </w:pPr>
      <w:r>
        <w:rPr>
          <w:caps w:val="false"/>
          <w:smallCaps w:val="false"/>
        </w:rPr>
        <w:t> </w:t>
      </w:r>
    </w:p>
    <w:tbl>
      <w:tblPr>
        <w:tblW w:w="4718" w:type="dxa"/>
        <w:jc w:val="left"/>
        <w:tblInd w:w="0" w:type="dxa"/>
        <w:tblLayout w:type="fixed"/>
        <w:tblCellMar>
          <w:top w:w="0" w:type="dxa"/>
          <w:left w:w="0" w:type="dxa"/>
          <w:bottom w:w="0" w:type="dxa"/>
          <w:right w:w="0" w:type="dxa"/>
        </w:tblCellMar>
      </w:tblPr>
      <w:tblGrid>
        <w:gridCol w:w="38"/>
        <w:gridCol w:w="290"/>
        <w:gridCol w:w="275"/>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75" w:type="dxa"/>
            <w:tcBorders/>
            <w:vAlign w:val="center"/>
          </w:tcPr>
          <w:p>
            <w:pPr>
              <w:pStyle w:val="TableContents"/>
              <w:bidi w:val="0"/>
              <w:spacing w:before="0" w:after="283"/>
              <w:jc w:val="left"/>
              <w:rPr/>
            </w:pPr>
            <w:r>
              <w:rPr/>
              <w:t>(a)</w:t>
            </w:r>
          </w:p>
        </w:tc>
        <w:tc>
          <w:tcPr>
            <w:tcW w:w="4115" w:type="dxa"/>
            <w:tcBorders/>
            <w:vAlign w:val="center"/>
          </w:tcPr>
          <w:p>
            <w:pPr>
              <w:pStyle w:val="TableContents"/>
              <w:bidi w:val="0"/>
              <w:spacing w:before="0" w:after="283"/>
              <w:jc w:val="left"/>
              <w:rPr/>
            </w:pPr>
            <w:r>
              <w:rPr/>
              <w:t>Full Legal Name of Selling Securityholder: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Full Legal Name of Registered Holder (if not the same as in (a) above) of Registrable Securities Listed in Item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Full Legal Name of DTC Participant (if applicable and if not the same as (b) above) Through Which Registrable Securities Listed in Item (3) below are Held:</w:t>
      </w:r>
    </w:p>
    <w:p>
      <w:pPr>
        <w:pStyle w:val="TextBody"/>
        <w:bidi w:val="0"/>
        <w:spacing w:before="0" w:after="0"/>
        <w:ind w:left="0" w:right="0" w:hanging="0"/>
        <w:jc w:val="left"/>
        <w:rPr>
          <w:caps w:val="false"/>
          <w:smallCaps w:val="false"/>
        </w:rPr>
      </w:pPr>
      <w:r>
        <w:rPr>
          <w:caps w:val="false"/>
          <w:smallCaps w:val="false"/>
        </w:rPr>
        <w:t> </w:t>
      </w:r>
    </w:p>
    <w:tbl>
      <w:tblPr>
        <w:tblW w:w="4014" w:type="dxa"/>
        <w:jc w:val="left"/>
        <w:tblInd w:w="0" w:type="dxa"/>
        <w:tblLayout w:type="fixed"/>
        <w:tblCellMar>
          <w:top w:w="0" w:type="dxa"/>
          <w:left w:w="0" w:type="dxa"/>
          <w:bottom w:w="0" w:type="dxa"/>
          <w:right w:w="0" w:type="dxa"/>
        </w:tblCellMar>
      </w:tblPr>
      <w:tblGrid>
        <w:gridCol w:w="260"/>
        <w:gridCol w:w="1666"/>
        <w:gridCol w:w="2088"/>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to Selling Securityholder:</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16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16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16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88" w:type="dxa"/>
            <w:tcBorders/>
            <w:vAlign w:val="center"/>
          </w:tcPr>
          <w:p>
            <w:pPr>
              <w:pStyle w:val="TableContents"/>
              <w:bidi w:val="0"/>
              <w:spacing w:before="0" w:after="283"/>
              <w:jc w:val="left"/>
              <w:rPr/>
            </w:pPr>
            <w:r>
              <w:rPr/>
              <w:t> </w:t>
            </w:r>
          </w:p>
        </w:tc>
      </w:tr>
    </w:tbl>
    <w:tbl>
      <w:tblPr>
        <w:tblW w:w="1520" w:type="dxa"/>
        <w:jc w:val="left"/>
        <w:tblInd w:w="0" w:type="dxa"/>
        <w:tblLayout w:type="fixed"/>
        <w:tblCellMar>
          <w:top w:w="0" w:type="dxa"/>
          <w:left w:w="0" w:type="dxa"/>
          <w:bottom w:w="0" w:type="dxa"/>
          <w:right w:w="0" w:type="dxa"/>
        </w:tblCellMar>
      </w:tblPr>
      <w:tblGrid>
        <w:gridCol w:w="75"/>
        <w:gridCol w:w="131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9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3035" w:type="dxa"/>
            <w:tcBorders/>
            <w:vAlign w:val="center"/>
          </w:tcPr>
          <w:p>
            <w:pPr>
              <w:pStyle w:val="TableContents"/>
              <w:bidi w:val="0"/>
              <w:spacing w:before="0" w:after="283"/>
              <w:jc w:val="left"/>
              <w:rPr/>
            </w:pPr>
            <w:r>
              <w:rPr/>
              <w:t>Beneficial Ownership of Notes: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(3), the undersigned does not beneficially own any Notes.</w:t>
      </w:r>
    </w:p>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275"/>
        <w:gridCol w:w="591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915" w:type="dxa"/>
            <w:tcBorders/>
            <w:vAlign w:val="center"/>
          </w:tcPr>
          <w:p>
            <w:pPr>
              <w:pStyle w:val="TableContents"/>
              <w:bidi w:val="0"/>
              <w:spacing w:before="0" w:after="283"/>
              <w:jc w:val="left"/>
              <w:rPr/>
            </w:pPr>
            <w:r>
              <w:rPr/>
              <w:t>Principal amount of Registrable Securities beneficially owned:</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591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75"/>
        <w:gridCol w:w="359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No(s). of such Registrable Securities:</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290"/>
        <w:gridCol w:w="7535"/>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535" w:type="dxa"/>
            <w:tcBorders/>
            <w:vAlign w:val="center"/>
          </w:tcPr>
          <w:p>
            <w:pPr>
              <w:pStyle w:val="TableContents"/>
              <w:bidi w:val="0"/>
              <w:spacing w:before="0" w:after="283"/>
              <w:jc w:val="left"/>
              <w:rPr/>
            </w:pPr>
            <w:r>
              <w:rPr/>
              <w:t>Principal amount of Notes other than Registrable Securities beneficially owned: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753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No(s). of such other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869" w:type="dxa"/>
            <w:tcBorders/>
            <w:vAlign w:val="center"/>
          </w:tcPr>
          <w:p>
            <w:pPr>
              <w:pStyle w:val="TableContents"/>
              <w:bidi w:val="0"/>
              <w:spacing w:before="0" w:after="283"/>
              <w:jc w:val="left"/>
              <w:rPr/>
            </w:pPr>
            <w:r>
              <w:rPr/>
              <w:t>Principal amount of Registrable Securities which the undersigned wishes to be included in the Shelf Registration Statement:</w:t>
            </w:r>
          </w:p>
        </w:tc>
      </w:tr>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869"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No(s). of such Registrable Securities to be included in the Shelf Registration Statement:</w:t>
      </w:r>
    </w:p>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29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5300" w:type="dxa"/>
            <w:tcBorders/>
            <w:vAlign w:val="center"/>
          </w:tcPr>
          <w:p>
            <w:pPr>
              <w:pStyle w:val="TableContents"/>
              <w:bidi w:val="0"/>
              <w:spacing w:before="0" w:after="283"/>
              <w:jc w:val="left"/>
              <w:rPr/>
            </w:pPr>
            <w:r>
              <w:rPr/>
              <w:t>Beneficial Ownership of Other Securities of the Issuers: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(4), the undersigned Selling Securityholder is not the beneficial or registered owner of any other securities of the Issuers other than the Notes listed above in Item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9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2900" w:type="dxa"/>
            <w:tcBorders/>
            <w:vAlign w:val="center"/>
          </w:tcPr>
          <w:p>
            <w:pPr>
              <w:pStyle w:val="TableContents"/>
              <w:bidi w:val="0"/>
              <w:spacing w:before="0" w:after="283"/>
              <w:jc w:val="left"/>
              <w:rPr/>
            </w:pPr>
            <w:r>
              <w:rPr/>
              <w:t>Relationships with the Issuers: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neither the Selling Securityholder nor any of its affiliates, officers, directors or principal equity holders (5% or more) has held any position or office or has had any other material relationship with the Issuers (or their respective predecessors or affiliates)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9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(6)</w:t>
            </w:r>
          </w:p>
        </w:tc>
        <w:tc>
          <w:tcPr>
            <w:tcW w:w="1955" w:type="dxa"/>
            <w:tcBorders/>
            <w:vAlign w:val="center"/>
          </w:tcPr>
          <w:p>
            <w:pPr>
              <w:pStyle w:val="TableContents"/>
              <w:bidi w:val="0"/>
              <w:spacing w:before="0" w:after="283"/>
              <w:jc w:val="left"/>
              <w:rPr/>
            </w:pPr>
            <w:r>
              <w:rPr/>
              <w:t>Plan of Distribution: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the undersigned Selling Securityholder intends to distribute the Registrable Securities listed above in Item (3) only as follows (if at all): Such Registrable Securities may be sold from time to time directly by the undersigned Selling Securityholder or, alternatively, through underwriters, broker-dealers or agents. Such Registrable Securities may be sold in one or more transactions at fixed prices, at prevailing market prices at the time of sale, at varying prices determined at the time of sale, or at negotiated prices. Such sales may be effected in transactions (which may involve crosses or block transactions) (i) on any national securities exchange or quotation service on which the Registrable Securities may be listed or quoted at the time of sale, (ii) in the over-the-counter market, (iii) in transactions otherwise than on such exchanges or services or in the over-the-counter market, or (iv) through the writing of options. In connection with sales of the Registrable Securities or otherwise, the Selling Securityholder may enter into hedging transactions with broker-dealers, which may in turn engage in short sales of the Registrable Securities in the course of hedging the positions they assume. The Selling Securityholder may also sell Registrable Securities short and deliver Registrable Securities to close out such short positions, or loan or pledge Registrable Securities to broker-dealers that in turn may sell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Selling Securityholder acknowledges that it understands its obligation to comply, and agrees that it will comply, with the provisions of the Exchange Act including, without limitation,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Selling Securityholder transfers all or any portion of the Registrable Securities listed in Item (3) above after the date on which such information is provided to the Issuers, the Selling Securityholder agrees to notify the transferee(s) at the time of the transfer of its rights and obligations under this Notice and Questionnaire and the Exchange and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Selling Securityholder consents to the disclosure of the information contained herein in its answers to Items (1) through (6) above and the inclusion of such information in the Shelf Registration Statement and related Prospectus. The Selling Securityholder understands that such information will be relied upon by the Issuers in connection with the preparation of the Shelf Registration Statement and related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Selling Securityholder’s obligation under Section 3(e) of the Exchange and Registration Rights Agreement to provide such information as may be required by law for inclusion in the Shelf Registration Statement, the Selling Securityholder agrees to promptly notify the Issuers of any inaccuracies or changes in the information provided herein which may occur subsequent to the date hereof at any time while the Shelf Registration Statement remains in effect. All notices hereunder and pursuant to the Exchange and Registration Rights Agreement shall be made in writing, by hand-delivery, first-class mail, or air courier guaranteeing overnight delivery as follows:</w:t>
      </w:r>
    </w:p>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0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1415" w:type="dxa"/>
            <w:tcBorders/>
            <w:vAlign w:val="center"/>
          </w:tcPr>
          <w:p>
            <w:pPr>
              <w:pStyle w:val="TableContents"/>
              <w:bidi w:val="0"/>
              <w:spacing w:before="0" w:after="283"/>
              <w:jc w:val="both"/>
              <w:rPr/>
            </w:pPr>
            <w:r>
              <w:rPr/>
              <w:t>To the Issuers:</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6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(ii)</w:t>
            </w:r>
          </w:p>
        </w:tc>
        <w:tc>
          <w:tcPr>
            <w:tcW w:w="1490" w:type="dxa"/>
            <w:tcBorders/>
            <w:vAlign w:val="center"/>
          </w:tcPr>
          <w:p>
            <w:pPr>
              <w:pStyle w:val="TableContents"/>
              <w:bidi w:val="0"/>
              <w:spacing w:before="0" w:after="283"/>
              <w:jc w:val="both"/>
              <w:rPr/>
            </w:pPr>
            <w:r>
              <w:rPr/>
              <w:t>With a copy to:</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this Notice and Questionnaire is executed by the Selling Securityholder and received by the Issuers’ counsel, the terms of this Notice and Questionnaire, and the representations and warranties contained herein, shall be binding on, shall inure to the benefit of and shall be enforceable by the respective successors, heirs, personal representatives, and assigns of the Issuers and the Selling Securityholder (with respect to the Registrable Securities beneficially owned by such Selling Securityholder and listed in Item (3) above). This Agreement shall be governed in all respects by the laws of the State of New York without giving effect to any provisions relating to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w:t>
        <w:br/>
        <w:t>(Print/type full legal name of beneficial owner of Registrable Securities)</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335"/>
        <w:gridCol w:w="545"/>
        <w:gridCol w:w="6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RETURN THE COMPLETED AND EXECUTED NOTICE AND QUESTIONNAIRE FOR RECEIPT ON OR BEFORE [DEADLINE FOR RESPONSE] TO THE ISSUERS’ COUNSEL AT:</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TRANSFER PURSUANT TO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br/>
        <w:t>CHARTER COMMUNICATIONS OPERATING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Charter Communications,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Washington Blvd.</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06902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Electronic Mail: </w:t>
      </w:r>
      <w:r>
        <w:rPr>
          <w:rFonts w:ascii="Times New Roman;Times;Serif" w:hAnsi="Times New Roman;Times;Serif"/>
          <w:b w:val="false"/>
          <w:i w:val="false"/>
          <w:caps w:val="false"/>
          <w:smallCaps w:val="false"/>
          <w:sz w:val="20"/>
          <w:u w:val="single"/>
        </w:rPr>
        <w:t>jamal.haughton@charter.com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No.: (212) 446-4900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Christian O. Nagler,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br/>
        <w:t>311 South Wacker Drive, Floor 62, Suite 6200B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Mailbox #44</w:t>
        <w:br/>
        <w:t>Chicago, IL 60606</w:t>
        <w:br/>
        <w:t>Attention: Corporate Trust Administration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Re:</w:t>
            </w:r>
          </w:p>
        </w:tc>
        <w:tc>
          <w:tcPr>
            <w:tcW w:w="9846" w:type="dxa"/>
            <w:tcBorders/>
            <w:vAlign w:val="center"/>
          </w:tcPr>
          <w:p>
            <w:pPr>
              <w:pStyle w:val="TableContents"/>
              <w:bidi w:val="0"/>
              <w:spacing w:before="0" w:after="283"/>
              <w:jc w:val="left"/>
              <w:rPr/>
            </w:pPr>
            <w:r>
              <w:rPr/>
              <w:t>Charter Communications Operating, LLC and Charter Communications Operating Capital Corp. (the “</w:t>
            </w:r>
            <w:r>
              <w:rPr>
                <w:u w:val="single"/>
              </w:rPr>
              <w:t>Issuers</w:t>
            </w:r>
            <w:r>
              <w:rPr/>
              <w:t>”) [7.087][7.337]% Senior Secured Notes due [2038][2041] (the “</w:t>
            </w:r>
            <w:r>
              <w:rPr>
                <w:u w:val="single"/>
              </w:rPr>
              <w:t>Notes</w:t>
            </w:r>
            <w:r>
              <w:rPr/>
              <w:t>”)</w:t>
            </w:r>
            <w:r>
              <w:rPr>
                <w:position w:val="8"/>
                <w:sz w:val="19"/>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advised that ________________ has transferred $___________ aggregate principal amount of the above-referenced Notes pursuant to an effective Registration Statement on Form S-1 (File No. 333-____) filed by the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that the prospectus delivery requirements, if any, of the Securities Act of 1933, as amended, have been satisfied and that the above-named beneficial owner of the Notes is named as a “Selling Holder” in the prospectus dated [date] or in supplements thereto, and that the aggregate principal amount of the Notes transferred are the Notes listed in such prospectus opposite such owner’s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Select appropriate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69" w:type="dxa"/>
        <w:jc w:val="left"/>
        <w:tblInd w:w="0" w:type="dxa"/>
        <w:tblLayout w:type="fixed"/>
        <w:tblCellMar>
          <w:top w:w="0" w:type="dxa"/>
          <w:left w:w="0" w:type="dxa"/>
          <w:bottom w:w="0" w:type="dxa"/>
          <w:right w:w="0" w:type="dxa"/>
        </w:tblCellMar>
      </w:tblPr>
      <w:tblGrid>
        <w:gridCol w:w="75"/>
        <w:gridCol w:w="446"/>
        <w:gridCol w:w="1448"/>
      </w:tblGrid>
      <w:tr>
        <w:trPr/>
        <w:tc>
          <w:tcPr>
            <w:tcW w:w="7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91667/000109166715000177/exh41chtr723158k.htm" TargetMode="External"/><Relationship Id="rId4" Type="http://schemas.openxmlformats.org/officeDocument/2006/relationships/hyperlink" Target="https://www.sec.gov/Archives/edgar/data/1091667/000109166715000177/exh41chtr723158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50231</Words>
  <Characters>264060</Characters>
  <CharactersWithSpaces>317921</CharactersWithSpaces>
  <Paragraphs>3423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