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45" w:lineRule="exact"/>
        <w:rPr>
          <w:sz w:val="24"/>
          <w:szCs w:val="24"/>
          <w:color w:val="auto"/>
        </w:rPr>
      </w:pPr>
    </w:p>
    <w:p>
      <w:pPr>
        <w:ind w:left="600" w:hanging="403"/>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June 30, 2024</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64" w:lineRule="exact"/>
        <w:rPr>
          <w:sz w:val="24"/>
          <w:szCs w:val="24"/>
          <w:color w:val="auto"/>
        </w:rPr>
      </w:pPr>
    </w:p>
    <w:p>
      <w:pPr>
        <w:ind w:left="600" w:hanging="390"/>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08" w:lineRule="exact"/>
        <w:rPr>
          <w:sz w:val="24"/>
          <w:szCs w:val="24"/>
          <w:color w:val="auto"/>
        </w:rPr>
      </w:pPr>
    </w:p>
    <w:tbl>
      <w:tblPr>
        <w:tblLayout w:type="fixed"/>
        <w:tblInd w:w="3520" w:type="dxa"/>
        <w:tblCellMar>
          <w:top w:w="0" w:type="dxa"/>
          <w:left w:w="0" w:type="dxa"/>
          <w:bottom w:w="0" w:type="dxa"/>
          <w:right w:w="0" w:type="dxa"/>
        </w:tblCellMar>
      </w:tblPr>
      <w:tr>
        <w:trPr>
          <w:trHeight w:val="210"/>
        </w:trPr>
        <w:tc>
          <w:tcPr>
            <w:tcW w:w="2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9"/>
              </w:rPr>
              <w:t>to</w:t>
            </w:r>
          </w:p>
        </w:tc>
      </w:tr>
      <w:tr>
        <w:trPr>
          <w:trHeight w:val="293"/>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Commission File Number:</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001-37789</w:t>
            </w:r>
          </w:p>
        </w:tc>
        <w:tc>
          <w:tcPr>
            <w:tcW w:w="22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333-112593-01</w:t>
            </w:r>
          </w:p>
        </w:tc>
      </w:tr>
    </w:tbl>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CCO Holdings, LLC</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CCO Holdings Capital Corp.</w:t>
      </w:r>
    </w:p>
    <w:p>
      <w:pPr>
        <w:spacing w:after="0" w:line="108" w:lineRule="exact"/>
        <w:rPr>
          <w:sz w:val="24"/>
          <w:szCs w:val="24"/>
          <w:color w:val="auto"/>
        </w:rPr>
      </w:pPr>
    </w:p>
    <w:tbl>
      <w:tblPr>
        <w:tblLayout w:type="fixed"/>
        <w:tblInd w:w="22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336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740" w:type="dxa"/>
            <w:vAlign w:val="bottom"/>
          </w:tcPr>
          <w:p>
            <w:pPr>
              <w:spacing w:after="0"/>
              <w:rPr>
                <w:sz w:val="16"/>
                <w:szCs w:val="16"/>
                <w:color w:val="auto"/>
              </w:rPr>
            </w:pPr>
          </w:p>
        </w:tc>
      </w:tr>
      <w:tr>
        <w:trPr>
          <w:trHeight w:val="229"/>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740" w:type="dxa"/>
            <w:vAlign w:val="bottom"/>
          </w:tcPr>
          <w:p>
            <w:pPr>
              <w:jc w:val="center"/>
              <w:ind w:right="1248"/>
              <w:spacing w:after="0"/>
              <w:rPr>
                <w:sz w:val="20"/>
                <w:szCs w:val="20"/>
                <w:color w:val="auto"/>
              </w:rPr>
            </w:pPr>
            <w:r>
              <w:rPr>
                <w:rFonts w:ascii="Times New Roman" w:cs="Times New Roman" w:eastAsia="Times New Roman" w:hAnsi="Times New Roman"/>
                <w:sz w:val="14"/>
                <w:szCs w:val="14"/>
                <w:b w:val="1"/>
                <w:bCs w:val="1"/>
                <w:color w:val="auto"/>
              </w:rPr>
              <w:t>86-1067239</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40" w:type="dxa"/>
            <w:vAlign w:val="bottom"/>
          </w:tcPr>
          <w:p>
            <w:pPr>
              <w:jc w:val="center"/>
              <w:ind w:right="1248"/>
              <w:spacing w:after="0"/>
              <w:rPr>
                <w:sz w:val="20"/>
                <w:szCs w:val="20"/>
                <w:color w:val="auto"/>
              </w:rPr>
            </w:pPr>
            <w:r>
              <w:rPr>
                <w:rFonts w:ascii="Times New Roman" w:cs="Times New Roman" w:eastAsia="Times New Roman" w:hAnsi="Times New Roman"/>
                <w:sz w:val="14"/>
                <w:szCs w:val="14"/>
                <w:b w:val="1"/>
                <w:bCs w:val="1"/>
                <w:color w:val="auto"/>
              </w:rPr>
              <w:t>20-0257904</w:t>
            </w:r>
          </w:p>
        </w:tc>
      </w:tr>
      <w:tr>
        <w:trPr>
          <w:trHeight w:val="23"/>
        </w:trPr>
        <w:tc>
          <w:tcPr>
            <w:tcW w:w="3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740" w:type="dxa"/>
            <w:vAlign w:val="bottom"/>
          </w:tcPr>
          <w:p>
            <w:pPr>
              <w:jc w:val="center"/>
              <w:ind w:right="12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61"/>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400 Washington Blvd.</w:t>
            </w: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Stamford</w:t>
            </w:r>
          </w:p>
        </w:tc>
        <w:tc>
          <w:tcPr>
            <w:tcW w:w="24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3740" w:type="dxa"/>
            <w:vAlign w:val="bottom"/>
          </w:tcPr>
          <w:p>
            <w:pPr>
              <w:jc w:val="center"/>
              <w:ind w:right="1268"/>
              <w:spacing w:after="0"/>
              <w:rPr>
                <w:sz w:val="20"/>
                <w:szCs w:val="20"/>
                <w:color w:val="auto"/>
              </w:rPr>
            </w:pPr>
            <w:r>
              <w:rPr>
                <w:rFonts w:ascii="Times New Roman" w:cs="Times New Roman" w:eastAsia="Times New Roman" w:hAnsi="Times New Roman"/>
                <w:sz w:val="14"/>
                <w:szCs w:val="14"/>
                <w:b w:val="1"/>
                <w:bCs w:val="1"/>
                <w:color w:val="auto"/>
              </w:rPr>
              <w:t>06902</w:t>
            </w:r>
          </w:p>
        </w:tc>
      </w:tr>
      <w:tr>
        <w:trPr>
          <w:trHeight w:val="37"/>
        </w:trPr>
        <w:tc>
          <w:tcPr>
            <w:tcW w:w="46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182"/>
        </w:trPr>
        <w:tc>
          <w:tcPr>
            <w:tcW w:w="464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740" w:type="dxa"/>
            <w:vAlign w:val="bottom"/>
          </w:tcPr>
          <w:p>
            <w:pPr>
              <w:jc w:val="center"/>
              <w:ind w:right="1268"/>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3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(203) 905-7801</w:t>
            </w:r>
          </w:p>
        </w:tc>
        <w:tc>
          <w:tcPr>
            <w:tcW w:w="1220" w:type="dxa"/>
            <w:vAlign w:val="bottom"/>
          </w:tcPr>
          <w:p>
            <w:pPr>
              <w:spacing w:after="0"/>
              <w:rPr>
                <w:sz w:val="23"/>
                <w:szCs w:val="23"/>
                <w:color w:val="auto"/>
              </w:rPr>
            </w:pPr>
          </w:p>
        </w:tc>
        <w:tc>
          <w:tcPr>
            <w:tcW w:w="3740" w:type="dxa"/>
            <w:vAlign w:val="bottom"/>
          </w:tcPr>
          <w:p>
            <w:pPr>
              <w:spacing w:after="0"/>
              <w:rPr>
                <w:sz w:val="23"/>
                <w:szCs w:val="23"/>
                <w:color w:val="auto"/>
              </w:rPr>
            </w:pPr>
          </w:p>
        </w:tc>
      </w:tr>
      <w:tr>
        <w:trPr>
          <w:trHeight w:val="20"/>
        </w:trPr>
        <w:tc>
          <w:tcPr>
            <w:tcW w:w="37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00"/>
        </w:trPr>
        <w:tc>
          <w:tcPr>
            <w:tcW w:w="3720" w:type="dxa"/>
            <w:vAlign w:val="bottom"/>
          </w:tcPr>
          <w:p>
            <w:pPr>
              <w:spacing w:after="0"/>
              <w:rPr>
                <w:sz w:val="17"/>
                <w:szCs w:val="17"/>
                <w:color w:val="auto"/>
              </w:rPr>
            </w:pPr>
          </w:p>
        </w:tc>
        <w:tc>
          <w:tcPr>
            <w:tcW w:w="336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7"/>
                <w:szCs w:val="17"/>
                <w:color w:val="auto"/>
              </w:rPr>
            </w:pPr>
          </w:p>
        </w:tc>
      </w:tr>
    </w:tbl>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44"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66" w:lineRule="exact"/>
        <w:rPr>
          <w:sz w:val="24"/>
          <w:szCs w:val="24"/>
          <w:color w:val="auto"/>
        </w:rPr>
      </w:pPr>
    </w:p>
    <w:p>
      <w:pPr>
        <w:spacing w:after="0" w:line="196" w:lineRule="exact"/>
        <w:tabs>
          <w:tab w:leader="none" w:pos="1580" w:val="left"/>
          <w:tab w:leader="none" w:pos="2840" w:val="left"/>
          <w:tab w:leader="none" w:pos="4420" w:val="left"/>
          <w:tab w:leader="none" w:pos="64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Non-accelerated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39" w:lineRule="exact"/>
        <w:rPr>
          <w:sz w:val="24"/>
          <w:szCs w:val="24"/>
          <w:color w:val="auto"/>
        </w:rPr>
      </w:pPr>
    </w:p>
    <w:p>
      <w:pPr>
        <w:spacing w:after="0" w:line="196" w:lineRule="exact"/>
        <w:tabs>
          <w:tab w:leader="none" w:pos="65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300"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All of the issued and outstanding shares of capital stock of CCO Holdings Capital Corp. are held by CCO Holdings, LLC. All of the limited liability company membership interests of CCO Holdings, LLC are held by CCH I Holdings, LLC (a subsidiary of Charter Communications, Inc., a reporting company under the Exchange Act). There is no public trading market for any of the aforementioned limited liability company membership interests or shares of capital stock.</w:t>
      </w:r>
    </w:p>
    <w:p>
      <w:pPr>
        <w:spacing w:after="0" w:line="211"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CCO Holdings, LLC and CCO Holdings Capital Corp. meet the conditions set forth in General Instruction I(1)(a) and (b) to Form 10-K and are therefore filing with the reduced disclosure format.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of CCO Holdings Capital Corporation outstanding as of June 30, 2024: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CCO HOLDINGS,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CCO HOLDINGS CAPITAL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PERIOD ENDED JUNE 30, 2024</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2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78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2100" w:type="dxa"/>
            <w:vAlign w:val="bottom"/>
            <w:gridSpan w:val="4"/>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89"/>
        </w:trPr>
        <w:tc>
          <w:tcPr>
            <w:tcW w:w="1100" w:type="dxa"/>
            <w:vAlign w:val="bottom"/>
            <w:gridSpan w:val="7"/>
            <w:vMerge w:val="continue"/>
          </w:tcPr>
          <w:p>
            <w:pPr>
              <w:spacing w:after="0"/>
              <w:rPr>
                <w:sz w:val="16"/>
                <w:szCs w:val="16"/>
                <w:color w:val="auto"/>
              </w:rPr>
            </w:pPr>
          </w:p>
        </w:tc>
        <w:tc>
          <w:tcPr>
            <w:tcW w:w="7860" w:type="dxa"/>
            <w:vAlign w:val="bottom"/>
            <w:gridSpan w:val="17"/>
            <w:vMerge w:val="continue"/>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Item 1</w:t>
            </w:r>
          </w:p>
        </w:tc>
        <w:tc>
          <w:tcPr>
            <w:tcW w:w="60" w:type="dxa"/>
            <w:vAlign w:val="bottom"/>
          </w:tcPr>
          <w:p>
            <w:pPr>
              <w:spacing w:after="0"/>
              <w:rPr>
                <w:sz w:val="24"/>
                <w:szCs w:val="24"/>
                <w:color w:val="auto"/>
              </w:rPr>
            </w:pPr>
          </w:p>
        </w:tc>
        <w:tc>
          <w:tcPr>
            <w:tcW w:w="560" w:type="dxa"/>
            <w:vAlign w:val="bottom"/>
            <w:gridSpan w:val="5"/>
          </w:tcPr>
          <w:p>
            <w:pPr>
              <w:spacing w:after="0"/>
              <w:rPr>
                <w:sz w:val="24"/>
                <w:szCs w:val="24"/>
                <w:color w:val="auto"/>
              </w:rPr>
            </w:pPr>
          </w:p>
        </w:tc>
        <w:tc>
          <w:tcPr>
            <w:tcW w:w="4460" w:type="dxa"/>
            <w:vAlign w:val="bottom"/>
            <w:tcBorders>
              <w:bottom w:val="single" w:sz="8" w:color="0000FF"/>
            </w:tcBorders>
            <w:gridSpan w:val="13"/>
          </w:tcPr>
          <w:p>
            <w:pPr>
              <w:spacing w:after="0" w:line="207" w:lineRule="exact"/>
              <w:rPr>
                <w:sz w:val="20"/>
                <w:szCs w:val="20"/>
                <w:color w:val="auto"/>
              </w:rPr>
            </w:pPr>
            <w:r>
              <w:rPr>
                <w:rFonts w:ascii="Times New Roman" w:cs="Times New Roman" w:eastAsia="Times New Roman" w:hAnsi="Times New Roman"/>
                <w:sz w:val="18"/>
                <w:szCs w:val="18"/>
                <w:color w:val="0000FF"/>
              </w:rPr>
              <w:t xml:space="preserve">Financial Statements </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CCO Holdings, LLC and Subsidiaries</w:t>
            </w:r>
          </w:p>
        </w:tc>
        <w:tc>
          <w:tcPr>
            <w:tcW w:w="3400" w:type="dxa"/>
            <w:vAlign w:val="bottom"/>
            <w:gridSpan w:val="4"/>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June 30, 2024 and December 31, 2023</w:t>
            </w:r>
          </w:p>
        </w:tc>
        <w:tc>
          <w:tcPr>
            <w:tcW w:w="2560" w:type="dxa"/>
            <w:vAlign w:val="bottom"/>
            <w:gridSpan w:val="3"/>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5040" w:type="dxa"/>
            <w:vAlign w:val="bottom"/>
            <w:gridSpan w:val="8"/>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 the three and six months ended June 30, 2024 and 2023</w:t>
            </w:r>
          </w:p>
        </w:tc>
        <w:tc>
          <w:tcPr>
            <w:tcW w:w="180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0000FF"/>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Changes in Member's Equity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 the three and six months ended June 30, 2024 and 2023</w:t>
            </w:r>
          </w:p>
        </w:tc>
        <w:tc>
          <w:tcPr>
            <w:tcW w:w="180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0000FF"/>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six months ended June 30, 2024 and 2023</w:t>
            </w: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0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0000FF"/>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560" w:type="dxa"/>
            <w:vAlign w:val="bottom"/>
            <w:gridSpan w:val="5"/>
          </w:tcPr>
          <w:p>
            <w:pPr>
              <w:spacing w:after="0"/>
              <w:rPr>
                <w:sz w:val="24"/>
                <w:szCs w:val="24"/>
                <w:color w:val="auto"/>
              </w:rPr>
            </w:pPr>
          </w:p>
        </w:tc>
        <w:tc>
          <w:tcPr>
            <w:tcW w:w="6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2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560" w:type="dxa"/>
            <w:vAlign w:val="bottom"/>
            <w:gridSpan w:val="5"/>
          </w:tcPr>
          <w:p>
            <w:pPr>
              <w:spacing w:after="0"/>
              <w:rPr>
                <w:sz w:val="24"/>
                <w:szCs w:val="24"/>
                <w:color w:val="auto"/>
              </w:rPr>
            </w:pP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80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0000FF"/>
                <w:w w:val="99"/>
              </w:rPr>
              <w:t>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60" w:type="dxa"/>
            <w:vAlign w:val="bottom"/>
            <w:tcBorders>
              <w:top w:val="single" w:sz="8" w:color="0000FF"/>
            </w:tcBorders>
          </w:tcPr>
          <w:p>
            <w:pPr>
              <w:spacing w:after="0"/>
              <w:rPr>
                <w:sz w:val="24"/>
                <w:szCs w:val="24"/>
                <w:color w:val="auto"/>
              </w:rPr>
            </w:pPr>
          </w:p>
        </w:tc>
        <w:tc>
          <w:tcPr>
            <w:tcW w:w="560" w:type="dxa"/>
            <w:vAlign w:val="bottom"/>
            <w:gridSpan w:val="5"/>
          </w:tcPr>
          <w:p>
            <w:pPr>
              <w:spacing w:after="0"/>
              <w:rPr>
                <w:sz w:val="24"/>
                <w:szCs w:val="24"/>
                <w:color w:val="auto"/>
              </w:rPr>
            </w:pPr>
          </w:p>
        </w:tc>
        <w:tc>
          <w:tcPr>
            <w:tcW w:w="42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580" w:type="dxa"/>
            <w:vAlign w:val="bottom"/>
            <w:gridSpan w:val="5"/>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480" w:type="dxa"/>
            <w:vAlign w:val="bottom"/>
            <w:gridSpan w:val="3"/>
          </w:tcPr>
          <w:p>
            <w:pPr>
              <w:spacing w:after="0"/>
              <w:rPr>
                <w:sz w:val="24"/>
                <w:szCs w:val="24"/>
                <w:color w:val="auto"/>
              </w:rPr>
            </w:pP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80" w:type="dxa"/>
            <w:vAlign w:val="bottom"/>
            <w:tcBorders>
              <w:top w:val="single" w:sz="8" w:color="0000FF"/>
            </w:tcBorders>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5980" w:type="dxa"/>
            <w:vAlign w:val="bottom"/>
            <w:gridSpan w:val="10"/>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0000FF"/>
                <w:w w:val="99"/>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540" w:type="dxa"/>
            <w:vAlign w:val="bottom"/>
            <w:gridSpan w:val="13"/>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0" w:type="dxa"/>
            <w:vAlign w:val="bottom"/>
          </w:tcPr>
          <w:p>
            <w:pPr>
              <w:spacing w:after="0"/>
              <w:rPr>
                <w:sz w:val="24"/>
                <w:szCs w:val="24"/>
                <w:color w:val="auto"/>
              </w:rPr>
            </w:pPr>
          </w:p>
        </w:tc>
        <w:tc>
          <w:tcPr>
            <w:tcW w:w="500" w:type="dxa"/>
            <w:vAlign w:val="bottom"/>
            <w:gridSpan w:val="4"/>
          </w:tcPr>
          <w:p>
            <w:pPr>
              <w:spacing w:after="0"/>
              <w:rPr>
                <w:sz w:val="24"/>
                <w:szCs w:val="24"/>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540" w:type="dxa"/>
            <w:vAlign w:val="bottom"/>
            <w:gridSpan w:val="13"/>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60" w:type="dxa"/>
            <w:vAlign w:val="bottom"/>
            <w:gridSpan w:val="5"/>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60" w:type="dxa"/>
            <w:vAlign w:val="bottom"/>
            <w:gridSpan w:val="15"/>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0000FF"/>
                <w:w w:val="71"/>
              </w:rPr>
              <w:t>S-1</w:t>
            </w:r>
          </w:p>
        </w:tc>
        <w:tc>
          <w:tcPr>
            <w:tcW w:w="0" w:type="dxa"/>
            <w:vAlign w:val="bottom"/>
          </w:tcPr>
          <w:p>
            <w:pPr>
              <w:spacing w:after="0"/>
              <w:rPr>
                <w:sz w:val="1"/>
                <w:szCs w:val="1"/>
                <w:color w:val="auto"/>
              </w:rPr>
            </w:pPr>
          </w:p>
        </w:tc>
      </w:tr>
      <w:tr>
        <w:trPr>
          <w:trHeight w:val="20"/>
        </w:trPr>
        <w:tc>
          <w:tcPr>
            <w:tcW w:w="76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0000FF"/>
                <w:w w:val="73"/>
              </w:rPr>
              <w:t>E-1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is for the three and six months ended June 30, 2024. The United States Securities and Exchange Commission (“SEC”) allows us to “incorporate by reference” information that we file with the SEC, which means that we can disclose important information to you by referring you directly to those documents. In this quarterly report, “CCO Holdings,” “we,” “us” and “our” refer to CCO Holdings, LLC and its subsidiaries.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2. “Management’s Discussion and Analysis of Financial Condition and Results of Operations” in this quarterly report.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in Part I, Item 1A of our most recent Form 10-K filed with the SEC. Many of the forward-looking statements contained in this quarterly report may be identified by the use of forward-looking words such as “believe,”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quarterly report are set forth in this quarterly report on Form 10-Q, in our annual report on Form 10-K, and in other reports or documents that we file from time to time with the SEC, and include, but are not limited to:</w:t>
      </w:r>
    </w:p>
    <w:p>
      <w:pPr>
        <w:spacing w:after="0" w:line="21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video, voice, mobile,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w:t>
      </w:r>
    </w:p>
    <w:p>
      <w:pPr>
        <w:ind w:left="340" w:hanging="33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 including in connection with our network evolution and rural construction initiatives;</w:t>
      </w: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quarterly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020" w:type="dxa"/>
            <w:vAlign w:val="bottom"/>
          </w:tcPr>
          <w:p>
            <w:pPr>
              <w:jc w:val="center"/>
              <w:ind w:left="3078"/>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8020" w:type="dxa"/>
            <w:vAlign w:val="bottom"/>
          </w:tcPr>
          <w:p>
            <w:pPr>
              <w:jc w:val="center"/>
              <w:ind w:left="3078"/>
              <w:spacing w:after="0"/>
              <w:rPr>
                <w:sz w:val="20"/>
                <w:szCs w:val="20"/>
                <w:color w:val="auto"/>
              </w:rPr>
            </w:pPr>
            <w:r>
              <w:rPr>
                <w:rFonts w:ascii="Times New Roman" w:cs="Times New Roman" w:eastAsia="Times New Roman" w:hAnsi="Times New Roman"/>
                <w:sz w:val="18"/>
                <w:szCs w:val="18"/>
                <w:b w:val="1"/>
                <w:bCs w:val="1"/>
                <w:color w:val="auto"/>
                <w:w w:val="99"/>
              </w:rPr>
              <w:t>CCO HOLDINGS, LLC AND SUBSIDIARIES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20" w:type="dxa"/>
            <w:vAlign w:val="bottom"/>
          </w:tcPr>
          <w:p>
            <w:pPr>
              <w:jc w:val="center"/>
              <w:ind w:left="3058"/>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020" w:type="dxa"/>
            <w:vAlign w:val="bottom"/>
          </w:tcPr>
          <w:p>
            <w:pPr>
              <w:jc w:val="center"/>
              <w:ind w:left="3078"/>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4"/>
                <w:szCs w:val="24"/>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020" w:type="dxa"/>
            <w:vAlign w:val="bottom"/>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receivable, less allowance for doubtful accounts of $188 and $268,</w:t>
            </w:r>
          </w:p>
        </w:tc>
        <w:tc>
          <w:tcPr>
            <w:tcW w:w="2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 from related party</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CABLE PROPERTIES: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$38,185 and $37,590,</w:t>
            </w:r>
          </w:p>
        </w:tc>
        <w:tc>
          <w:tcPr>
            <w:tcW w:w="2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38,659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Customer relationships, net of accumulated amortization of $16,966 and $16,523,</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Franchises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investment in cable properties, net</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137,468</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146,944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02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accrued and other current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Payables to related party</w:t>
            </w: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95,777</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INSTALLMENT PLAN FINANCING FACILITY</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CCO Holdings member's equity</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member’s equity</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34,190</w:t>
            </w: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80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146,944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145,480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40" w:type="dxa"/>
            <w:vAlign w:val="bottom"/>
            <w:gridSpan w:val="4"/>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27,312</w:t>
            </w:r>
          </w:p>
        </w:tc>
      </w:tr>
      <w:tr>
        <w:trPr>
          <w:trHeight w:val="142"/>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76"/>
        </w:trPr>
        <w:tc>
          <w:tcPr>
            <w:tcW w:w="50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Operating costs and expenses (exclusive of items shown</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0"/>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16,896</w:t>
            </w:r>
          </w:p>
        </w:tc>
      </w:tr>
      <w:tr>
        <w:trPr>
          <w:trHeight w:val="233"/>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r>
      <w:tr>
        <w:trPr>
          <w:trHeight w:val="229"/>
        </w:trPr>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9"/>
        </w:trPr>
        <w:tc>
          <w:tcPr>
            <w:tcW w:w="5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21,215</w:t>
            </w:r>
          </w:p>
        </w:tc>
      </w:tr>
      <w:tr>
        <w:trPr>
          <w:trHeight w:val="210"/>
        </w:trPr>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6,097</w:t>
            </w:r>
          </w:p>
        </w:tc>
      </w:tr>
      <w:tr>
        <w:trPr>
          <w:trHeight w:val="142"/>
        </w:trPr>
        <w:tc>
          <w:tcPr>
            <w:tcW w:w="5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r>
      <w:tr>
        <w:trPr>
          <w:trHeight w:val="229"/>
        </w:trPr>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07"/>
        </w:trPr>
        <w:tc>
          <w:tcPr>
            <w:tcW w:w="50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r>
      <w:tr>
        <w:trPr>
          <w:trHeight w:val="145"/>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r>
      <w:tr>
        <w:trPr>
          <w:trHeight w:val="230"/>
        </w:trPr>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CCO Holdings member</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MEMBER’S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6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net income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compensation expense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Contributions from parent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Distributions to parent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Distributions to noncontrolling interest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March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net income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compensation expense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Contributions from parent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Distributions to parent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June 30, 2024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CCO Holdings</w:t>
            </w:r>
          </w:p>
        </w:tc>
        <w:tc>
          <w:tcPr>
            <w:tcW w:w="14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40" w:type="dxa"/>
            <w:vAlign w:val="bottom"/>
          </w:tcPr>
          <w:p>
            <w:pPr>
              <w:spacing w:after="0"/>
              <w:rPr>
                <w:sz w:val="17"/>
                <w:szCs w:val="17"/>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Total Member’s</w:t>
            </w:r>
          </w:p>
        </w:tc>
      </w:tr>
      <w:tr>
        <w:trPr>
          <w:trHeight w:val="241"/>
        </w:trPr>
        <w:tc>
          <w:tcPr>
            <w:tcW w:w="15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2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34,190</w:t>
            </w:r>
          </w:p>
        </w:tc>
      </w:tr>
      <w:tr>
        <w:trPr>
          <w:trHeight w:val="229"/>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30"/>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4"/>
        </w:trPr>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35,354</w:t>
            </w:r>
          </w:p>
        </w:tc>
      </w:tr>
      <w:tr>
        <w:trPr>
          <w:trHeight w:val="230"/>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29"/>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36,448</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-1807845</wp:posOffset>
            </wp:positionV>
            <wp:extent cx="711517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-1508125</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-1216660</wp:posOffset>
            </wp:positionV>
            <wp:extent cx="71151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-925195</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-624840</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-334010</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580"/>
          </w:cols>
          <w:pgMar w:left="360" w:top="92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December 31,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net income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compensation expense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Distributions to parent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Distributions to noncontrolling interest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March 31,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net income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compensation expense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Contributions from parent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Distributions to parent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June 30, 2023</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CCO Holdings</w:t>
            </w:r>
          </w:p>
        </w:tc>
        <w:tc>
          <w:tcPr>
            <w:tcW w:w="140" w:type="dxa"/>
            <w:vAlign w:val="bottom"/>
          </w:tcPr>
          <w:p>
            <w:pPr>
              <w:spacing w:after="0"/>
              <w:rPr>
                <w:sz w:val="17"/>
                <w:szCs w:val="17"/>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40" w:type="dxa"/>
            <w:vAlign w:val="bottom"/>
          </w:tcPr>
          <w:p>
            <w:pPr>
              <w:spacing w:after="0"/>
              <w:rPr>
                <w:sz w:val="17"/>
                <w:szCs w:val="17"/>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Total Member’s</w:t>
            </w:r>
          </w:p>
        </w:tc>
      </w:tr>
      <w:tr>
        <w:trPr>
          <w:trHeight w:val="241"/>
        </w:trPr>
        <w:tc>
          <w:tcPr>
            <w:tcW w:w="15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2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w:t>
            </w:r>
          </w:p>
        </w:tc>
      </w:tr>
      <w:tr>
        <w:trPr>
          <w:trHeight w:val="230"/>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34"/>
        </w:trPr>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32,512</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32,535</w:t>
            </w:r>
          </w:p>
        </w:tc>
      </w:tr>
      <w:tr>
        <w:trPr>
          <w:trHeight w:val="230"/>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30"/>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-1662430</wp:posOffset>
            </wp:positionV>
            <wp:extent cx="71151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-1362710</wp:posOffset>
            </wp:positionV>
            <wp:extent cx="711517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-1071245</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-770890</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-479425</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-187960</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580"/>
          </w:cols>
          <w:pgMar w:left="360" w:top="927" w:right="3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Consolidated 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flows from operating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0" w:type="dxa"/>
            <w:vAlign w:val="bottom"/>
          </w:tcPr>
          <w:p>
            <w:pPr>
              <w:spacing w:after="0"/>
              <w:rPr>
                <w:sz w:val="1"/>
                <w:szCs w:val="1"/>
                <w:color w:val="auto"/>
              </w:rPr>
            </w:pPr>
          </w:p>
        </w:tc>
      </w:tr>
      <w:tr>
        <w:trPr>
          <w:trHeight w:val="213"/>
        </w:trPr>
        <w:tc>
          <w:tcPr>
            <w:tcW w:w="7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interest, net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dispositions: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7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Receivables from and payables to related party</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0" w:type="dxa"/>
            <w:vAlign w:val="bottom"/>
          </w:tcPr>
          <w:p>
            <w:pPr>
              <w:spacing w:after="0"/>
              <w:rPr>
                <w:sz w:val="1"/>
                <w:szCs w:val="1"/>
                <w:color w:val="auto"/>
              </w:rPr>
            </w:pPr>
          </w:p>
        </w:tc>
      </w:tr>
      <w:tr>
        <w:trPr>
          <w:trHeight w:val="199"/>
        </w:trPr>
        <w:tc>
          <w:tcPr>
            <w:tcW w:w="7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(5,298)</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accrued expenses related to capital expenditures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9"/>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0" w:type="dxa"/>
            <w:vAlign w:val="bottom"/>
          </w:tcPr>
          <w:p>
            <w:pPr>
              <w:spacing w:after="0"/>
              <w:rPr>
                <w:sz w:val="1"/>
                <w:szCs w:val="1"/>
                <w:color w:val="auto"/>
              </w:rPr>
            </w:pPr>
          </w:p>
        </w:tc>
      </w:tr>
      <w:tr>
        <w:trPr>
          <w:trHeight w:val="199"/>
        </w:trPr>
        <w:tc>
          <w:tcPr>
            <w:tcW w:w="7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11,048</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Borrowings of equipment installment plan financing facility</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(10,735)</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loans payable - related parties, net</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parent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0" w:type="dxa"/>
            <w:vAlign w:val="bottom"/>
          </w:tcPr>
          <w:p>
            <w:pPr>
              <w:spacing w:after="0"/>
              <w:rPr>
                <w:sz w:val="1"/>
                <w:szCs w:val="1"/>
                <w:color w:val="auto"/>
              </w:rPr>
            </w:pPr>
          </w:p>
        </w:tc>
      </w:tr>
      <w:tr>
        <w:trPr>
          <w:trHeight w:val="199"/>
        </w:trPr>
        <w:tc>
          <w:tcPr>
            <w:tcW w:w="7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35"/>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CASH PAID FOR TAXES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20" w:type="dxa"/>
            <w:vAlign w:val="bottom"/>
            <w:vMerge w:val="continue"/>
          </w:tcPr>
          <w:p>
            <w:pPr>
              <w:spacing w:after="0"/>
              <w:rPr>
                <w:sz w:val="16"/>
                <w:szCs w:val="16"/>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cash, cash equivalents and restricted cash includes $40 million of restricted cash included in prepaid expenses and other current assets in the consolidated balance sheets.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200" w:lineRule="exact"/>
        <w:rPr>
          <w:sz w:val="20"/>
          <w:szCs w:val="20"/>
          <w:color w:val="auto"/>
        </w:rPr>
      </w:pPr>
    </w:p>
    <w:p>
      <w:pPr>
        <w:spacing w:after="0" w:line="381" w:lineRule="exact"/>
        <w:rPr>
          <w:sz w:val="20"/>
          <w:szCs w:val="20"/>
          <w:color w:val="auto"/>
        </w:rPr>
      </w:pPr>
    </w:p>
    <w:p>
      <w:pPr>
        <w:ind w:right="792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Organization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CCO Holdings, LLC (together with its subsidiaries, “CCO Holdings,” or the “Company”) is a leading broadband connectivity company and cable operator. Over an advanced communications network, the Company offers a full range of state-of-the-art residential and business services including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TV, Mobile and Voice. For small and medium-sized companies, Spectrum Business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the same suite of broadband products and services coupled with special features and applications to enhance productivity, while for larger businesses and government entities, Spectrum Enterprise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provides highly customized, fiber-based solutions. Spectrum Reach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tailored advertising and production for the modern media landscape. The Company also distributes award-winning news coverage and sports programming to its customers through Spectrum Networks.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CCO Holdings is a holding company whose principal assets are the equity interests in its operating subsidiaries. CCO Holdings is a direct subsidiary of CCH I Holdings, LLC, which is an indirect subsidiary of Charter Communications, Inc. (“Charter”), Charter Communications Holdings, LLC (“Charter Holdings”) and Spectrum Management Holding Company, LLC (“Spectrum Management”). All of the outstanding capital stock of CCO Holdings Capital Corp. is owned by CCO Holdings. The consolidated financial statements include the accounts of CCO Holdings and all of its subsidiaries where the underlying operations reside. All significant intercompany accounts and transactions among consolidated entities have been eliminated. Charter, Charter Holdings and Spectrum Management have performed financing, cash management, treasury and other services for CCO Holdings on a centralized basis. Changes in member’s equity in the consolidated balance sheets related to these activities have been considered cash receipts (contributions) and payments (distributions) for purposes of the consolidated statements of cash flows and are reflected in financing activities.</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one reportable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the rules and regulations of the Securities and Exchange Commission (the “SEC”). Accordingly, certain information and footnote disclosures typically included in the Company's Annual Report on Form 10-K have been condensed or omitted for this quarterly report. The accompanying consolidated financial statements are unaudited and are subject to review by regulatory authorities. However, in the opinion of management, such financial statements include all adjustments, which consist of only normal recurring adjustments, necessary for a fair presentation of the results for the periods presented. Interim results are not necessarily indicative of results for a full year.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pension benefits and income taxes. Actual results could differ from those estimates.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equaled net income attributable to CCO Holdings member for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Accounts Payable, Accrued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accrued and other current liabilities consist of the following as of June 30, 2024 and December 31,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480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Programming costs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Labor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Total Debt</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our debt as of June 30, 2024 and December 31, 2023 is as follows: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4"/>
                <w:szCs w:val="14"/>
                <w:color w:val="auto"/>
              </w:rPr>
            </w:pPr>
          </w:p>
        </w:tc>
        <w:tc>
          <w:tcPr>
            <w:tcW w:w="9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4"/>
                <w:szCs w:val="14"/>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secured notes and debentures</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Credit facilities</w:t>
            </w:r>
            <w:r>
              <w:rPr>
                <w:rFonts w:ascii="Times New Roman" w:cs="Times New Roman" w:eastAsia="Times New Roman" w:hAnsi="Times New Roman"/>
                <w:sz w:val="23"/>
                <w:szCs w:val="23"/>
                <w:color w:val="auto"/>
                <w:vertAlign w:val="superscript"/>
              </w:rPr>
              <w:t>(b)</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97,777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£625 million fixed-rate British pound sterling denominated notes (the “Sterling Notes”) (remeasured at $791 million and $797 million as of June 30, 2024 and December 31, 2023, respectively, using the exchange rate at the respective dates) and the Company's £650 million aggregate principal amount of Sterling Notes (remeasured at $823 million and $828 million as of June 30, 2024 and December 31, 2023, respectively, using the exchange rate at the respective dates).</w:t>
      </w:r>
    </w:p>
    <w:p>
      <w:pPr>
        <w:ind w:left="340" w:hanging="332"/>
        <w:spacing w:after="0" w:line="21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has availability under the Charter Communications Operating, LLC ("Charter Operating") credit facilities of approximately $4.1 billion as of June 30, 2024.</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senior unsecured and secured notes and debentures as of June 30, 2024 and December 31, 2023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Charter Operating and Charter Communications Operating Capital Corp. jointly issued $1.5 billion of 6.100% senior secured notes due June 2029 at a price of 99.944% of the aggregate principal amount and $1.5 billion of 6.550% senior secured notes due June 2034 at a price of 99.755% of the aggregate principal amount. The net proceeds were used to fund a concurrent tender offer to repurchase $2.7 billion in aggregate principal amount of Charter Operating's 4.908% senior secured notes due July 2025, to prepay Charter Operating's outstanding Term B-1 Loan and to pay related fees and expenses. The transactions resulted in a gain on extinguishment of debt of approximately $9 million for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Equipment Installment Plan Financing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a bankruptcy remote special purpose vehicle and consolidated subsidiary of the Company, CCO EIP Financing, LLC, (the “SPV Borrower”) entered into a senior secured revolving credit facility to finance the purchase of equipment installment plan receivables (“EIP Receivables”) with a number of financial institutions (the “EIP Financing Facility”).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under the EIP Financing Facility bears interest on the outstanding borrowings based on lenders’ cost of funds plus an applicable margin and was 6.46% as of June 30, 2024. The EIP Financing Facility has a final maturity date of June 20, 2028, comprised of a one-year revolving loan period, subject to annual renewal, and if not renewed, cash flows on EIP Receivables are applied to amortize the loan which may occur over a period of up to three years. SPV Borrower may borrow up to $1.25 billion under the EIP Financing Facility. As of June 30, 2024, the carrying value of the EIP Financing Facility was $873 million and is included in the Company’s consolidated balance sheets.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SPV Borrower’s sole business consists of the purchase or acceptance through capital contributions of the EIP Receivables from Spectrum Mobile Equipment, LLC, (the sole direct parent entity of SPV Borrower that originates the EIP Receivables) and the subsequent retransfer of or granting of a security interest in such EIP Receivables to the administrative agent under the EIP Financing Facility. The SPV Borrower is a separate legal entity with its own separate creditors who will be entitled, upon its liquidation, to be satisfied out of the SPV Borrower’s assets prior to any assets or value in the SPV Borrower becoming available to the SPV Borrower’s equity holders, and the assets of the SPV Borrower are not available to pay creditors of any other affiliate of the Company.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EIP Financing Facility is accounted for on a consolidated basis as a secured borrowing. As of June 30, 2024, pledged EIP Receivables with an unpaid principal balance of $1.3 billion, included in accounts receivable, net and other noncurrent assets, and restricted cash of $40 million, included in prepaid expenses and other current assets, are held by the SPV Borrower and reflected in the Company’s consolidated balance sheets. Receipts from mobile customers related to the underlying EIP Receivables are reflected as cash flows from operating activities and borrowings and repayments under the EIP Financing Facility are reflected as cash flows from financing activities in the Company’s consolidated statements of cash flows.</w:t>
      </w:r>
    </w:p>
    <w:p>
      <w:pPr>
        <w:spacing w:after="0" w:line="206"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the Company's cross-currency derivatives, which are classified within Level 2 of the valuation hierarchy, was $469 million and $440 million and is included in other long-term liabilities on its consolidated balance sheets as of June 30, 2024 and December 31, 2023,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financial instruments are recorded in other expenses, net in the consolidated statements of operations and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3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cross-currency derivative instruments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 of Sterling Notes to U.S. dollars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(78)</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financial instruments, net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Revenues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revenues by product line are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4"/>
                <w:szCs w:val="24"/>
                <w:color w:val="auto"/>
              </w:rPr>
            </w:pPr>
          </w:p>
        </w:tc>
        <w:tc>
          <w:tcPr>
            <w:tcW w:w="28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r>
      <w:tr>
        <w:trPr>
          <w:trHeight w:val="230"/>
        </w:trPr>
        <w:tc>
          <w:tcPr>
            <w:tcW w:w="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Voice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9"/>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Mobile service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revenue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w:t>
            </w:r>
          </w:p>
        </w:tc>
      </w:t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and medium business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29"/>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revenue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48"/>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27,312</w:t>
            </w: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accounts receivable, net on the consolidated balance sheets includes approximately $803 million and $673 million of current equipment installment plan receivables, respectively, and other noncurrent assets includes approximately $854 million and $687 million of noncurrent equipment installment plan receivables, respectively.</w:t>
      </w:r>
    </w:p>
    <w:p>
      <w:pPr>
        <w:spacing w:after="0" w:line="19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Costs and Expenses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costs and expenses, exclusive of items shown separately in the consolidated statements of operations, consist of the following for the periods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1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service customers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23"/>
        </w:trPr>
        <w:tc>
          <w:tcPr>
            <w:tcW w:w="488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r>
      <w:tr>
        <w:trPr>
          <w:trHeight w:val="20"/>
        </w:trPr>
        <w:tc>
          <w:tcPr>
            <w:tcW w:w="4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Programming costs consist primarily of costs paid to programmers for basic, premium, video on demand and pay-per-view programming. Other costs of revenue include costs directly related to providing Internet, video, voice and mobile services including mobile device costs, payments to franchise and regulatory authorities, payments for sports, local and news content produced by the Company and direct costs associated with selling advertising. Also included in other costs of revenue are content acquisition costs for the Los Angeles Lakers’ basketball games and Los Angeles Dodgers’ baseball games, which are recorded as games are exhibited over the contract period. Costs to service customers include costs related to field operations, network operations and customer operations for the Company’s products, including mobile, sold to non-bulk residential and small and medium business ("SMB") customers including internal and third-party labor for the non-capitalizable portion of installations, service and repairs, maintenance, bad debt expense, billing and collection, occupancy and vehicle costs. Sales and marketing costs represent the costs of selling and marketing our Internet, video, voice and mobile services to current and potential non-bulk residential and SMB customers, including labor cost. Other expense includes indirect costs associated with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Spectrum Enterprise, Spectrum Reach, Spectrum Networks and Spectrum Community Solutions businesses, including sales and marketing and bad debt expenses as well as corporate overhead and stock compensation expense, among others.</w:t>
      </w:r>
    </w:p>
    <w:p>
      <w:pPr>
        <w:spacing w:after="0" w:line="185"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Operating (Income) Expenses,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expenses, net consist of the following for the periods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charges, net primarily includes severance costs and net amounts of litigation settlements.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disposal of assets, net includes a $67 million gain on sale of towers during the six months ended June 30, 2024.</w:t>
      </w:r>
    </w:p>
    <w:p>
      <w:pPr>
        <w:spacing w:after="0" w:line="24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Expenses,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net consist of the following for the periods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308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 (see Note 3)</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financial instruments, net (see Note 5)</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benefits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investments, net</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stock incentive plans provide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Charter granted the following equity awards for the periods presented.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4,257,200</w:t>
            </w:r>
          </w:p>
        </w:tc>
      </w:tr>
      <w:tr>
        <w:trPr>
          <w:trHeight w:val="230"/>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1,535,900</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and restricted stock units generally cliff vest three years from the date of grant. Certain stock options and restricted stock units vest based on achievement of stock price hurdles. Stock options generally expire ten years from the grant date and restricted stock units have no voting rights. Restricted stock generally vests one year from the date of grant.</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2024, total unrecognized compensation remaining to be recognized in future periods totaled $399 million for stock options, $3 million for restricted stock and $580 million for restricted stock units and the weighted average period over which they are expected to be recognized is two years for stock options, ten months for restricted stock and two years for restricted stock units.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stock compensation expense of $153 million and $367 million for the three and six months ended June 30, 2024, respectively, and $168 million and $376 million for the three and six months ended June 30, 2023, respectively, which is included in operating costs and expenses.</w:t>
      </w:r>
    </w:p>
    <w:p>
      <w:pPr>
        <w:spacing w:after="0" w:line="185"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parent companies are defendants or co-defendants in several lawsuits involving alleged infringement of various intellectual property relating to various aspects of their businesses. Other industry participants are also defendants in certain of these cases or related cases. In the event that a court ultimately determines that the Company infringes on any intellectual property, the Company may be subject to substantial damages and/or an injunction that could require the Company or its vendors to modify certain products and services the Company offers to its subscribers, as well as negotiate royalty or license agreements with respect to the intellectual property at issue. While the Company believes the lawsuits are without merit and intends to defend the actions vigorously, no assurance can be given that any adverse outcome would not be material to the Company’s operations, consolidated financial condition, results of operations, or liquidity. The Company cannot predict the outcome of any such claims nor can it reasonably estimate a range of possible loss.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parent companies are party to other lawsuits, claims and regulatory inquiries or investigations that arise in the ordinary course of conducting their business or in connection with the Company’s participation in government funding programs. The ultimate outcome of these other legal matters pending against the Company cannot be predicted, and although such lawsuits and claims are not expected individually to have a material adverse effect on the Company’s operations, consolidated financial condition, results of operations or liquidity, such lawsuits could have, in the aggregate, a material adverse effect on the Company’s operations, consolidated financial condition, results of operations or liquidity. Whether or not the Company ultimately prevails in any particular lawsuit or claim, litigation can be time consuming and costly and injure the Company’s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CCO Holdings, LLC (“CCO Holdings”) is a holding company whose principal assets are the equity interests in its operating subsidiaries. CCO Holdings is a direct subsidiary of CCH I Holdings, LLC, which is an indirect subsidiary of Charter Communications, Inc. (“Charter”), Charter Communications Holdings, LLC (“Charter Holdings”) and Spectrum Management Holding Company, LLC. All of the outstanding capital stock of CCO Holdings Capital Corp. is owned by CCO Holdings. The consolidated financial statements include the accounts of CCO Holdings and all of its subsidiaries where the underlying operations reside. All significant intercompany accounts and transactions among consolidated entities have been eliminated.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leading broadband connectivity company and cable operator with services available to more than 57 million homes and businesses in 41 states through our Spectrum brand. Over an advanced communications network, we offer a full range of state-of-the-art residential and business services including Spectrum Internet, TV, Mobile and Voice. For small and medium-sized companies, Spectrum Business delivers the same suite of broadband products and services coupled with special features and applications to enhance productivity, while for larger businesses and government entities, Spectrum Enterprise provides highly customized, fiber-based solutions. Spectrum Reach delivers tailored advertising and production for the modern media landscape. We also distribute award-winning news coverage and sports programming to our customers through Spectrum Networks.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we lost 149,000 Internet customers while adding 557,000 mobile lines. Our Internet customer growth was challenged by the end of the Federal Communication Commission’s Affordable Connectivity Program ("ACP"), lower customer move rates and the competitive environment. While our retention programs for the customers impacted by the end of ACP subsidies have been successful in retaining the vast majority of ACP customers, the end of the ACP subsidy program was disruptive to our business and resulted in customer losses during the quarter. We expect to see additional one-time impacts on customer net gains, revenue per customer and bad debt in the third and fourth quarters of this year.</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mobile line growth continued to benefit from our Spectrum One offering and new offerings launched in the second quarter of 2024, including our Anytime Upgrade offering and Phone Balance Buyout program. Our Spectrum One offering provides a differentiated connectivity experience by bringing together Spectrum Internet, Advanced WiFi and Unlimited Spectrum Mobile to offer consumers fast, reliable and secure online connections on their favorite devices at home and on the go in a high-value package. Anytime Upgrade allows certain customers to upgrade their devices whenever they want, eliminating traditional wait times, upgrade fees and condition requirements. Our Phone Balance Buyout program makes switching mobile providers easier by helping customers pay off balances on ported lines.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spent $567 million and $994 million on our subsidized rural construction initiative during the three and six months ended June 30, 2024 and activated approximately 89,000 and 162,000 subsidized rural passings, respectively. We currently offer Spectrum Internet products with speeds up to 1 Gbps across our entire footprint. Our network evolution initiative is progressing. We are upgrading our network to deliver symmetrical and multi-gigabit speeds across our footprint and recently began offering symmetrical speeds in our first high split markets. We also continue to evolve our video product and are deploying Xumo stream boxes ("Xumo") to new video customers. Xumo combines a live TV experience with access to hundreds of content applications and features unified search and discovery along with a curated content offering based on a customer’s interests and subscriptions. In the first quarter of 2024, we began offering Disney+ and ESPN+ to customers in certain packages at no additional cost, and in the second quarter of 2024, we reached an agreement with Paramount+ that allows us to include Paramount+ in certain packages and recently launched ViX, a Spanish language direct-to-consumer application, for our Spanish language customers.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We realized revenue, Adjusted EBITDA and income from operations during the periods presented as follows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3780" w:type="dxa"/>
            <w:vAlign w:val="bottom"/>
            <w:gridSpan w:val="6"/>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0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attributable to CCO Holdings member plus net income attributable to noncontrolling interest, interest expense, net, income taxes, depreciation and amortization, stock compensation expense, other income (expenses), net and other operating (income) expenses, net, such as special charges and (gain) loss on sale or retirement of assets. See “Use of Adjusted EBITDA and Free Cash Flow” for further information on Adjusted EBITDA and free cash flow.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Growth in total revenue was primarily due to growth in our residential mobile service, residential Internet, enterprise and other revenues mostly offset by lower residential video revenue. Adjusted EBITDA and income from operations growth was driven by growth in revenue and decreases in operating costs and expenses, primarily programming expense, partly offset by an increase in mobile device and other mobile direct costs. Income from operations was also affected by an increase in other operating expenses,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customer statistics for Internet, video, voice and mobile as of June 30, 2024 and 2023 (in thousands except per customer data and footnotes).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Approximate 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Customer Relationships </w:t>
            </w:r>
            <w:r>
              <w:rPr>
                <w:rFonts w:ascii="Times New Roman" w:cs="Times New Roman" w:eastAsia="Times New Roman" w:hAnsi="Times New Roman"/>
                <w:sz w:val="23"/>
                <w:szCs w:val="23"/>
                <w:b w:val="1"/>
                <w:bCs w:val="1"/>
                <w:color w:val="auto"/>
                <w:vertAlign w:val="superscript"/>
              </w:rPr>
              <w:t>(b)</w:t>
            </w:r>
          </w:p>
        </w:tc>
        <w:tc>
          <w:tcPr>
            <w:tcW w:w="320" w:type="dxa"/>
            <w:vAlign w:val="bottom"/>
          </w:tcPr>
          <w:p>
            <w:pPr>
              <w:spacing w:after="0"/>
              <w:rPr>
                <w:sz w:val="19"/>
                <w:szCs w:val="19"/>
                <w:color w:val="auto"/>
              </w:rPr>
            </w:pPr>
          </w:p>
        </w:tc>
        <w:tc>
          <w:tcPr>
            <w:tcW w:w="136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3"/>
                <w:szCs w:val="23"/>
                <w:b w:val="1"/>
                <w:bCs w:val="1"/>
                <w:color w:val="auto"/>
                <w:vertAlign w:val="superscript"/>
              </w:rPr>
              <w:t>(a)</w:t>
            </w:r>
          </w:p>
        </w:tc>
        <w:tc>
          <w:tcPr>
            <w:tcW w:w="400" w:type="dxa"/>
            <w:vAlign w:val="bottom"/>
          </w:tcPr>
          <w:p>
            <w:pPr>
              <w:spacing w:after="0"/>
              <w:rPr>
                <w:sz w:val="19"/>
                <w:szCs w:val="19"/>
                <w:color w:val="auto"/>
              </w:rPr>
            </w:pPr>
          </w:p>
        </w:tc>
        <w:tc>
          <w:tcPr>
            <w:tcW w:w="1160" w:type="dxa"/>
            <w:vAlign w:val="bottom"/>
          </w:tcPr>
          <w:p>
            <w:pPr>
              <w:jc w:val="right"/>
              <w:ind w:right="39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3"/>
                <w:szCs w:val="23"/>
                <w:b w:val="1"/>
                <w:bCs w:val="1"/>
                <w:color w:val="auto"/>
                <w:vertAlign w:val="superscript"/>
              </w:rPr>
              <w:t>(a)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40" w:type="dxa"/>
            <w:vAlign w:val="bottom"/>
            <w:gridSpan w:val="7"/>
            <w:vMerge w:val="continue"/>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Residential Revenue per Residential Customer </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40" w:type="dxa"/>
            <w:vAlign w:val="bottom"/>
            <w:gridSpan w:val="7"/>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SMB Revenue per SMB Customer </w:t>
            </w:r>
            <w:r>
              <w:rPr>
                <w:rFonts w:ascii="Times New Roman" w:cs="Times New Roman" w:eastAsia="Times New Roman" w:hAnsi="Times New Roman"/>
                <w:sz w:val="23"/>
                <w:szCs w:val="23"/>
                <w:color w:val="auto"/>
                <w:vertAlign w:val="superscript"/>
              </w:rPr>
              <w:t>(d)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Internet</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Internet Customers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9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Video</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9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Video Customers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4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Voice</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Voice Customers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9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Mobile Lines </w:t>
            </w:r>
            <w:r>
              <w:rPr>
                <w:rFonts w:ascii="Times New Roman" w:cs="Times New Roman" w:eastAsia="Times New Roman" w:hAnsi="Times New Roman"/>
                <w:sz w:val="21"/>
                <w:szCs w:val="21"/>
                <w:b w:val="1"/>
                <w:bCs w:val="1"/>
                <w:color w:val="auto"/>
                <w:vertAlign w:val="superscript"/>
              </w:rPr>
              <w:t>(e)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6900" w:type="dxa"/>
            <w:vAlign w:val="bottom"/>
            <w:tcBorders>
              <w:top w:val="single" w:sz="8" w:color="CCEEFF"/>
            </w:tcBorders>
            <w:gridSpan w:val="3"/>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Mobile Lines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4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4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Enterprise Primary Service Units ("PSUs") </w:t>
            </w:r>
            <w:r>
              <w:rPr>
                <w:rFonts w:ascii="Times New Roman" w:cs="Times New Roman" w:eastAsia="Times New Roman" w:hAnsi="Times New Roman"/>
                <w:sz w:val="21"/>
                <w:szCs w:val="21"/>
                <w:b w:val="1"/>
                <w:bCs w:val="1"/>
                <w:color w:val="auto"/>
                <w:vertAlign w:val="superscript"/>
              </w:rPr>
              <w:t>(f)</w:t>
            </w:r>
          </w:p>
        </w:tc>
        <w:tc>
          <w:tcPr>
            <w:tcW w:w="320" w:type="dxa"/>
            <w:vAlign w:val="bottom"/>
          </w:tcPr>
          <w:p>
            <w:pPr>
              <w:spacing w:after="0"/>
              <w:rPr>
                <w:sz w:val="16"/>
                <w:szCs w:val="16"/>
                <w:color w:val="auto"/>
              </w:rPr>
            </w:pPr>
          </w:p>
        </w:tc>
        <w:tc>
          <w:tcPr>
            <w:tcW w:w="12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340" w:hanging="332"/>
        <w:spacing w:after="0" w:line="242" w:lineRule="auto"/>
        <w:tabs>
          <w:tab w:leader="none" w:pos="33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the aging of customer accounts based on the monthly billing cycle for each account in accordance with our collection policies. On that basis, as of June 30, 2024 and 2023, customers include approximately 79,400 and 128,600 customers, respectively, whose accounts were over 60 days past due, approximately 10,000 and 47,000 customers, respectively, whose accounts were over 90 days past due and approximately 13,500 and 229,200 customers, respectively, whose accounts were over 120 days past due. The decrease in accounts past due is predominately due to revisions to customer account balances associated with the end of the ACP, including balance write-offs and conversion to payment plans. Bad debt expense associated with these past due accounts was predominantly reflected in our consolidated statements of operations in prior periods.</w:t>
      </w:r>
    </w:p>
    <w:p>
      <w:pPr>
        <w:spacing w:after="0" w:line="4"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relationships include the number of customers that receive one or more levels of service, encompassing Internet, video, voice and mobile services, without regard to which service(s) such customers receive. Customers who reside in residential multiple dwelling units (“MDUs”) and that are billed under bulk contracts are counted based on the number of billed units within each bulk MDU. Total customer relationships exclude enterprise and mobile-only customer relationships.</w:t>
      </w:r>
    </w:p>
    <w:p>
      <w:pPr>
        <w:ind w:left="340" w:hanging="332"/>
        <w:spacing w:after="0" w:line="219" w:lineRule="auto"/>
        <w:tabs>
          <w:tab w:leader="none" w:pos="33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residential revenue per residential customer is calculated as total residential quarterly revenue divided by three divided by average residential customer relationships during the respective quarter and excludes mobile-only customers.</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SMB revenue per SMB customer is calculated as total SMB quarterly revenue divided by three divided by average SMB customer relationships during the respective quarter and excludes mobile-only customers.</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Mobile lines include phones and tablets which require one of our standard rate plans (e.g., "Unlimited" or "By the Gig"). Mobile lines exclude wearables and other devices that do not require standard phone rate plans.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ind w:left="340" w:hanging="332"/>
        <w:spacing w:after="0" w:line="229" w:lineRule="auto"/>
        <w:tabs>
          <w:tab w:leader="none" w:pos="335"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Enterprise PSUs represent the aggregate number of fiber service offerings counting each separate service offering at each customer location as an individual PSU.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policies and the means by which we develop estimates therefore, see “Item 7. Management’s Discussion and Analysis of Financial Condition and Results of Operations” in our 2023 Annual Report on Form 10-K. There have been no material changes from the critical accounting policies described in our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for the periods presented (dollars in millions):</w:t>
      </w:r>
    </w:p>
    <w:p>
      <w:pPr>
        <w:sectPr>
          <w:pgSz w:w="11900" w:h="16838" w:orient="portrait"/>
          <w:cols w:equalWidth="0" w:num="1">
            <w:col w:w="11240"/>
          </w:cols>
          <w:pgMar w:left="320" w:top="931" w:right="339" w:bottom="1440" w:gutter="0" w:footer="0" w:header="0"/>
        </w:sectPr>
      </w:pPr>
    </w:p>
    <w:p>
      <w:pPr>
        <w:spacing w:after="0" w:line="289"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19685</wp:posOffset>
            </wp:positionV>
            <wp:extent cx="18942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27305</wp:posOffset>
            </wp:positionV>
            <wp:extent cx="1885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8" w:lineRule="exact"/>
        <w:rPr>
          <w:sz w:val="20"/>
          <w:szCs w:val="20"/>
          <w:color w:val="auto"/>
        </w:rPr>
      </w:pPr>
    </w:p>
    <w:p>
      <w:pPr>
        <w:ind w:left="1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sectPr>
          <w:pgSz w:w="11900" w:h="16838" w:orient="portrait"/>
          <w:cols w:equalWidth="0" w:num="2">
            <w:col w:w="7960" w:space="720"/>
            <w:col w:w="2560"/>
          </w:cols>
          <w:pgMar w:left="320" w:top="931"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27,312</w:t>
            </w:r>
          </w:p>
        </w:tc>
      </w:tr>
      <w:tr>
        <w:trPr>
          <w:trHeight w:val="142"/>
        </w:trPr>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4"/>
        </w:trPr>
        <w:tc>
          <w:tcPr>
            <w:tcW w:w="51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Operating costs and expenses (exclusive of items shown separately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below)</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w:t>
            </w:r>
          </w:p>
        </w:tc>
      </w:tr>
      <w:tr>
        <w:trPr>
          <w:trHeight w:val="230"/>
        </w:trPr>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29"/>
        </w:trPr>
        <w:tc>
          <w:tcPr>
            <w:tcW w:w="5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5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21,215</w:t>
            </w:r>
          </w:p>
        </w:tc>
      </w:tr>
      <w:tr>
        <w:trPr>
          <w:trHeight w:val="223"/>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142"/>
        </w:trPr>
        <w:tc>
          <w:tcPr>
            <w:tcW w:w="5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30"/>
        </w:trPr>
        <w:tc>
          <w:tcPr>
            <w:tcW w:w="5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5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r>
      <w:tr>
        <w:trPr>
          <w:trHeight w:val="142"/>
        </w:trPr>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30"/>
        </w:trPr>
        <w:tc>
          <w:tcPr>
            <w:tcW w:w="5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30"/>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42"/>
        </w:trPr>
        <w:tc>
          <w:tcPr>
            <w:tcW w:w="5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CCO Holdings member</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0"/>
        </w:trPr>
        <w:tc>
          <w:tcPr>
            <w:tcW w:w="5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Total revenues grew $26 million and $52 million for the three and six months ended June 30, 2024, respectively, compared to the corresponding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periods in 2023 primarily due to growth in residential mobile service, residential Internet, enterprise and other revenues, partly offset by lower residential video revenue.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Revenues by service offering were as follows (dollars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3440" w:type="dxa"/>
            <w:vAlign w:val="bottom"/>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7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Voice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Mobile service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2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14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and medium business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14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48"/>
        </w:trPr>
        <w:tc>
          <w:tcPr>
            <w:tcW w:w="3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Internet revenues from our residential customers is attributable to the following (dollars in millions):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80"/>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4"/>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41"/>
        </w:trPr>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5"/>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Internet customers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related to rate and product mix was primarily due to promotional rate step-ups and rate adjustments, partly offset by lower bundled revenue allocation. Residential Internet customers decreased by 231,000 customers from June 30, 2023 to June 30,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revenues consist primarily of revenues from video services provided to our residential customers, as well as franchise fees, equipment service fees and video installation revenue. The decrease in video revenues is attributable to the following (dollars in millions):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4"/>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6"/>
                <w:szCs w:val="16"/>
                <w:color w:val="auto"/>
              </w:rPr>
            </w:pP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75"/>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0"/>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4"/>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6"/>
                <w:szCs w:val="16"/>
                <w:color w:val="auto"/>
              </w:rPr>
            </w:pP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30"/>
        </w:trPr>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19"/>
                <w:szCs w:val="19"/>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video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video customers decreased by 1,353,000 from June 30, 2023 to June 30, 2024. The increase related to rate and product mix was primarily due to promotional rate step-ups and video rate adjustments that pass-through programming rate increases, partly offset by a higher mix of lower priced video packages within our video customer base.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decrease in voice revenues from our residential customers is attributable to the following (dollars in millions):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84"/>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75"/>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38"/>
        </w:trPr>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voice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 adjustments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wireline voice customers decreased by 1,078,000 customers from June 30, 2023 to June 30,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mobile service revenues from our residential customers is attributable to the following (dollars in millions):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6"/>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80"/>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4"/>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6"/>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41"/>
        </w:trPr>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5"/>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average residential mobile lines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(decrease) related to rate</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w w:val="99"/>
              </w:rPr>
              <w:t>(13)</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mobile lines increased by 2,121,000 mobile lines from June 30, 2023 to June 30, 2024. The increase related to rate for the three months ended June 30, 2024 compared to the corresponding period in 2023 is primarily related to higher bundled revenue allocation and successful conversion of free lines. The decrease related to rate for the six months ended June 30, 2024 compared to the corresponding period in 2023 is primarily related to the Spectrum One offering and is partly offset by higher bundled revenue allocation.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increase in SMB revenues is attributable to the following (dollars in millions):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940" w:type="dxa"/>
            <w:vAlign w:val="bottom"/>
          </w:tcPr>
          <w:p>
            <w:pPr>
              <w:jc w:val="center"/>
              <w:ind w:lef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76"/>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9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0"/>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940" w:type="dxa"/>
            <w:vAlign w:val="bottom"/>
          </w:tcPr>
          <w:p>
            <w:pPr>
              <w:jc w:val="center"/>
              <w:ind w:lef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940" w:type="dxa"/>
            <w:vAlign w:val="bottom"/>
          </w:tcPr>
          <w:p>
            <w:pPr>
              <w:jc w:val="center"/>
              <w:ind w:lef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30"/>
        </w:trPr>
        <w:tc>
          <w:tcPr>
            <w:tcW w:w="20" w:type="dxa"/>
            <w:vAlign w:val="bottom"/>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3"/>
        </w:trPr>
        <w:tc>
          <w:tcPr>
            <w:tcW w:w="2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SMB customers</w:t>
            </w:r>
          </w:p>
        </w:tc>
        <w:tc>
          <w:tcPr>
            <w:tcW w:w="1940" w:type="dxa"/>
            <w:vAlign w:val="bottom"/>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 w:type="dxa"/>
            <w:vAlign w:val="bottom"/>
          </w:tcPr>
          <w:p>
            <w:pPr>
              <w:spacing w:after="0"/>
              <w:rPr>
                <w:sz w:val="19"/>
                <w:szCs w:val="19"/>
                <w:color w:val="auto"/>
              </w:rPr>
            </w:pPr>
          </w:p>
        </w:tc>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(decrease) related to rate and product mix changes</w:t>
            </w:r>
          </w:p>
        </w:tc>
        <w:tc>
          <w:tcPr>
            <w:tcW w:w="1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left="1610"/>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 customers grew by 3,000 from June 30, 2023 to June 30, 2024.</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Enterprise revenues increased $31 million and $57 million during the three and six months ended June 30, 2024, respectively, compared to the corresponding periods in 2023 primarily due to an increase in Internet PSUs. Enterprise PSUs increased 18,000 from June 30, 2023 to June 30,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sales revenues consist primarily of revenues from commercial advertising customers, programmers and other vendors, as well as local cable and advertising on regional sports and news channels. Advertising sales revenues increased $13 million and $49 million during the three and six months ended June 30, 2024, respectively, as compared to the corresponding periods in 2023 primarily due to an increase in political ad revenue and advanced advertising partly offset by lower local ad revenue.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consist of revenue from mobile and video device sales, processing fees, regional sports and news channels (excluding intercompany charges or advertising sales on those channels), subsidy revenue, home shopping, wire maintenance fees and other miscellaneous revenues. Other revenues increased $40 million and $56 million during the three and six months ended June 30, 2024, respectively, compared to the corresponding periods in 2023 primarily due to higher mobile device sales.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our operating costs and expenses, exclusive of items shown separately in the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are attributable to the following (dollars in millions):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Programming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costs of revenue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Costs to service customers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180" w:type="dxa"/>
            <w:vAlign w:val="bottom"/>
          </w:tcPr>
          <w:p>
            <w:pPr>
              <w:spacing w:after="0"/>
              <w:rPr>
                <w:sz w:val="15"/>
                <w:szCs w:val="15"/>
                <w:color w:val="auto"/>
              </w:rPr>
            </w:pPr>
          </w:p>
        </w:tc>
        <w:tc>
          <w:tcPr>
            <w:tcW w:w="20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84"/>
        </w:trPr>
        <w:tc>
          <w:tcPr>
            <w:tcW w:w="180" w:type="dxa"/>
            <w:vAlign w:val="bottom"/>
          </w:tcPr>
          <w:p>
            <w:pPr>
              <w:spacing w:after="0"/>
              <w:rPr>
                <w:sz w:val="16"/>
                <w:szCs w:val="16"/>
                <w:color w:val="auto"/>
              </w:rPr>
            </w:pPr>
          </w:p>
        </w:tc>
        <w:tc>
          <w:tcPr>
            <w:tcW w:w="20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76"/>
        </w:trPr>
        <w:tc>
          <w:tcPr>
            <w:tcW w:w="180" w:type="dxa"/>
            <w:vAlign w:val="bottom"/>
          </w:tcPr>
          <w:p>
            <w:pPr>
              <w:spacing w:after="0"/>
              <w:rPr>
                <w:sz w:val="15"/>
                <w:szCs w:val="15"/>
                <w:color w:val="auto"/>
              </w:rPr>
            </w:pPr>
          </w:p>
        </w:tc>
        <w:tc>
          <w:tcPr>
            <w:tcW w:w="20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180" w:type="dxa"/>
            <w:vAlign w:val="bottom"/>
          </w:tcPr>
          <w:p>
            <w:pPr>
              <w:spacing w:after="0"/>
              <w:rPr>
                <w:sz w:val="15"/>
                <w:szCs w:val="15"/>
                <w:color w:val="auto"/>
              </w:rPr>
            </w:pPr>
          </w:p>
        </w:tc>
        <w:tc>
          <w:tcPr>
            <w:tcW w:w="20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38"/>
        </w:trPr>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18"/>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-925195</wp:posOffset>
            </wp:positionV>
            <wp:extent cx="711517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-624840</wp:posOffset>
            </wp:positionV>
            <wp:extent cx="711517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-333375</wp:posOffset>
            </wp:positionV>
            <wp:extent cx="711517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931" w:right="339" w:bottom="1440" w:gutter="0" w:footer="0" w:header="0"/>
          <w:type w:val="continuous"/>
        </w:sectPr>
      </w:pP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Programming costs were approximately $2.5 billion and $2.7 billion for the three months ended June 30, 2024 and 2023, representing 30% and 33% of total operating costs and expenses, respectively, and $5.0 billion and $5.5 billion for the six months ended June 30, 2024 and 2023, representing 30% and 33% of total operating costs and expenses, respectively. Programming costs consist primarily of costs paid to programmers for basic, premium, video on demand, and pay-per-view programming. Programming costs decreased as a result of fewer video customers and a higher mix of lower cost video packages within our video customer base, partly offset by contractual rate adjustments, including renewals and increases in amounts paid for retransmission consent.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costs of revenue increased $171 million and $301 million during the three and six months ended June 30, 2024, respectively, compared to the corresponding periods in 2023 primarily due to higher mobile service direct costs and mobile device sales due to an increase in mobile lines.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to service customers decreased $88 million and $89 million during the three and six months ended June 30, 2024, respectively, compared to the corresponding periods in 2023 primarily due to lower labor costs and, during the three months ended June 30, 2024, lower bad debt expense.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increase in other expense is attributable to the following (dollars in millions):</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80"/>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4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5"/>
        </w:trPr>
        <w:tc>
          <w:tcPr>
            <w:tcW w:w="20" w:type="dxa"/>
            <w:vAlign w:val="bottom"/>
          </w:tcPr>
          <w:p>
            <w:pPr>
              <w:spacing w:after="0"/>
              <w:rPr>
                <w:sz w:val="19"/>
                <w:szCs w:val="19"/>
                <w:color w:val="auto"/>
              </w:rPr>
            </w:pPr>
          </w:p>
        </w:tc>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by $1 million and $18 million during the three and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2024, respectively, compared to the corresponding periods in 2023 primarily due to certain assets becoming fully depreciated partly offset by an increase in depreciation as a result of more recent capital expenditures.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(income) expenses, net. </w:t>
      </w:r>
      <w:r>
        <w:rPr>
          <w:rFonts w:ascii="Times New Roman" w:cs="Times New Roman" w:eastAsia="Times New Roman" w:hAnsi="Times New Roman"/>
          <w:sz w:val="18"/>
          <w:szCs w:val="18"/>
          <w:color w:val="auto"/>
        </w:rPr>
        <w:t>The change in other operating (income) expenses, net is attributable to the following (dollars in millions):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84"/>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75"/>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38"/>
        </w:trPr>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the accompanying consolidated financial statements contained in “Item 1. Financial Statements” for more information.</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Net interest expense increased by $30 million and $79 million for the three and six months ended June 30, 2024,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corresponding periods in 2023 primarily due to an increase in weighted average interest rates.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expenses, net. </w:t>
      </w:r>
      <w:r>
        <w:rPr>
          <w:rFonts w:ascii="Times New Roman" w:cs="Times New Roman" w:eastAsia="Times New Roman" w:hAnsi="Times New Roman"/>
          <w:sz w:val="18"/>
          <w:szCs w:val="18"/>
          <w:color w:val="auto"/>
        </w:rPr>
        <w:t>The change in other expenses, net is attributable to the following (dollars in millions):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6"/>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80"/>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4"/>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6"/>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41"/>
        </w:trPr>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5"/>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 (see Note 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financial instruments, net (see Note 5)</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benefits</w:t>
            </w:r>
          </w:p>
        </w:tc>
        <w:tc>
          <w:tcPr>
            <w:tcW w:w="1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investments, net</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and the Notes referenced above to the accompanying consolidated financial statements contained in “Item 1. Financial Statements” for more information.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recognized income tax expense of $11 million and $66 million for the three and six months ended June 30, 2024, respectively,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million and $29 million for the three and six months ended 2023, respectively.</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 </w:t>
      </w:r>
      <w:r>
        <w:rPr>
          <w:rFonts w:ascii="Times New Roman" w:cs="Times New Roman" w:eastAsia="Times New Roman" w:hAnsi="Times New Roman"/>
          <w:sz w:val="18"/>
          <w:szCs w:val="18"/>
          <w:color w:val="auto"/>
        </w:rPr>
        <w:t>Net income attributable to noncontrolling interest relates to our third-party interest in CV of Viera,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LLP, a consolidated joint venture in a small cable system in Florida.</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CCO Holdings member. </w:t>
      </w:r>
      <w:r>
        <w:rPr>
          <w:rFonts w:ascii="Times New Roman" w:cs="Times New Roman" w:eastAsia="Times New Roman" w:hAnsi="Times New Roman"/>
          <w:sz w:val="18"/>
          <w:szCs w:val="18"/>
          <w:color w:val="auto"/>
        </w:rPr>
        <w:t>Net income attributable to CCO Holdings member increased $34 million and $167 million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and six months ended June 30, 2024, respectively, compared to the corresponding periods in 2023 primarily as a result of the factors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Adjusted EBITDA and 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CCO Holdings member and net cash flows from operating activities reported in accordance with GAAP. These terms, as defined by us, may not be comparable to similarly titled measures used by other companies. Adjusted EBITDA and free cash flow are reconciled to net income attributable to CCO Holdings member and net cash flows from operating activities, respectively,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and intangible assets used in generating revenues and our cash cost of financing. These costs are evaluated through other financial measures.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and changes in accrued expenses related to capital expenditures.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and Charter’s board of directors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Securities and Exchange Commission (the “SEC”)). For the purpose of calculating compliance with leverage covenants, we use Adjusted EBITDA, as presented, excluding certain expenses paid by our operating subsidiaries to other Charter entities. Our debt covenants refer to these expenses as management fees, which were $366 million and $737 million for the three and six months ended June 30, 2024, respectively, and $335 million and $709 million for the three and six months ended 2023, respectively.</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free cash flow to net income attributable to CCO Holdings member and net cash flows from operating activities, respectively, is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CCO Holdings member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Net income attributable to noncontrolling interest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30"/>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30"/>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10,792</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5"/>
        </w:trPr>
        <w:tc>
          <w:tcPr>
            <w:tcW w:w="4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property, plant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29"/>
        </w:trPr>
        <w:tc>
          <w:tcPr>
            <w:tcW w:w="49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Change in accrued expenses related to capital expenditures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section contains a discussion of our liquidity and capital resources, including a discussion of our cash position, sources and uses of cash, access to credit facilities and other financing sources, historical financing activities, cash needs, capital expenditures and outstanding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Charter Communications Operating, LLC ("Charter Operating") and Charter Communications Operating Capital Corp. jointly issued $1.5 billion of 6.100% senior secured notes due June 2029 at a price of 99.944% of the aggregate principal amount and $1.5 billion of 6.550% senior secured notes due June 2034 at a price of 99.755% of the aggregate principal amount. The net proceeds were used to fund a concurrent tender offer to repurchase $2.7 billion in aggregate principal amount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Charter Operating's 4.908% senior secured notes due July 2025, to prepay Charter Operating's outstanding Term B-1 Loan and to pay related fees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Contractual Obligations and Liquidity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amounts of debt and require significant cash to fund principal and interest payments on our debt. The principal amount of our debt as of June 30, 2024 was $96.5 billion, consisting of $13.1 billion of credit facility debt, $56.2 billion of investment grade senior secured notes and $27.3 billion of high-yield senior unsecured notes. Our split credit rating allows us to access both the investment grade debt market and the high yield debt market.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projected cash needs and projected sources of liquidity depend upon, among other things, our actual results, and the timing and amount of our expenditures. Free cash flow was $1.8 billion and $2.2 billion for the three and six months ended June 30, 2024, respectively, and $1.5 billion and $2.2 billion for the three and six months ended June 30, 2023, respectively. See the table below for factors impacting free cash flow during the three and six months ended June 30, 2024 compared to the corresponding prior periods. As of June 30, 2024, the amount available under our credit facilities was approximately $4.1 billion and cash on hand was approximately $412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offers or redemption provisions. We believe we have sufficient liquidity from cash on hand, free cash flow and Charter Operating’s revolving credit facility as well as access to the capital markets to fund our projected cash needs.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evaluate the deployment of our cash on hand and anticipated future free cash flow, including investing in our business growth and other strategic opportunities, including expanding the capacity of our network, the expansion of our network through our rural broadband construction initiative, the build-out and deployment of our CBRS spectrum, and mergers and acquisitions as well as distributions to parent companies for stock repurchases and dividends. Charter's target leverage of net debt to the last twelve months Adjusted EBITDA remains at 4 to 4.5 times Adjusted EBITDA, and up to 3.5 times Adjusted EBITDA at the Charter Operating first lien level. Charter's leverage ratio was 4.3 times Adjusted EBITDA as of June 30, 2024. As Adjusted EBITDA grows, we expect to increase the total amount of our indebtedness to maintain leverage within Charter's target leverage range. Excluding purchases from Liberty Broadband Corporation (“Liberty Broadband”) discussed below, during the three and six months ended June 30, 2024, Charter purchased in the public market approximately 1.2 million and 2.4 million shares of Charter Class A common stock, respectively, for approximately $323 million and $714 million, respectively, and during the three and six months ended June 30, 2023, Charter purchased in the public market approximately 1.0 million and 3.1 million shares of Charter Class A common stock, respectively, for approximately $324 million and $1.1 billion, respectively. Since the beginning of its buyback program in September 2016 through June 30, 2024, Charter has purchased approximately 161.5 million shares of Class A common stock and Charter Holdings common units for approximately $73.0 billion, including purchases from Liberty Broadband and Advance/Newhouse Partnership ("A/N") discussed below.</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“LBB Letter Agreement”). The LBB Letter Agreement implements Liberty Broadband’s obligations under the Amended and Restated Stockholders Agreement among Charter, Liberty Broadband and A/N, dated as of May 23, 2015 (as amended, the “Stockholders Agreement”) to participate in share repurchases by Charter. Under the LBB Letter Agreement, Liberty Broadband will sell to Charter, generally on a monthly basis, a number of shares of Charter Class A common stock representing an amount sufficient for Liberty Broadband’s ownership of Charter to be reduced such that it does not exceed the ownership cap then applicable to Liberty Broadband under the Stockholders Agreement at a purchase price per share equal to the volume weighted average price per share paid by Charter for shares repurchased during such immediately preceding calendar month other than (i) purchases from A/N, (ii) purchases in privately negotiated transactions or (iii) purchases for the withholding of shares of Charter Class A common stock pursuant to equity compensation programs of Charter. During the three and six months ended June 30, 2024, Charter purchased from Liberty Broadband 0.1 million and 0.3 million shares of Charter Class A common stock, respectively, for approximately $35 million and $116 million, respectively, and 0.1 million shares of Charter Class A common stock for approximately $42 million during the six months ended June 30, 2023.</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from persons other than A/N during such immediately preceding calendar month. A/N and Charter both have the right to terminate or suspend the pro rata repurchase arrangement on a prospective basis. During the three and six months ended June 30, 2024, Charter Holdings purchased from A/N 0.2 million and 0.4 million Charter Holdings common units, respectively, for approximately $46 million and $141 million, respectively, and during the three and six months ended June 30, 2023, Charter Holdings purchased from A/N 0.2 million and 0.5 million Charter Holdings common units, respectively, for approximately $54 million and $176 million, respectively.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Charter had remaining board authority to purchase an additional $406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 To the extent such purchases occur, CCO Holdings and its subsidiaries are the primary source for funding such purchases through distributions to their parent companies.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possibilities present attractive opportunities. However, there can be no assurance that we will actually complete any acquisitions, dispositions or system swaps, or that any such transactions will be material to our operations or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increased $322 million and $41 million during the three and six months ended June 30, 2024, respectively, compared to the corresponding prior periods in 2023 due to the following (dollars in millions):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20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15"/>
                <w:szCs w:val="15"/>
                <w:color w:val="auto"/>
              </w:rPr>
            </w:pPr>
          </w:p>
        </w:tc>
        <w:tc>
          <w:tcPr>
            <w:tcW w:w="20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184"/>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6"/>
                <w:szCs w:val="16"/>
                <w:color w:val="auto"/>
              </w:rPr>
            </w:pPr>
          </w:p>
        </w:tc>
        <w:tc>
          <w:tcPr>
            <w:tcW w:w="200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75"/>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5"/>
                <w:szCs w:val="15"/>
                <w:color w:val="auto"/>
              </w:rPr>
            </w:pPr>
          </w:p>
        </w:tc>
        <w:tc>
          <w:tcPr>
            <w:tcW w:w="20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00" w:type="dxa"/>
            <w:vAlign w:val="bottom"/>
          </w:tcPr>
          <w:p>
            <w:pPr>
              <w:spacing w:after="0"/>
              <w:rPr>
                <w:sz w:val="15"/>
                <w:szCs w:val="15"/>
                <w:color w:val="auto"/>
              </w:rPr>
            </w:pPr>
          </w:p>
        </w:tc>
        <w:tc>
          <w:tcPr>
            <w:tcW w:w="20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38"/>
        </w:trPr>
        <w:tc>
          <w:tcPr>
            <w:tcW w:w="6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Increase / (Decrease)</w:t>
            </w:r>
          </w:p>
        </w:tc>
        <w:tc>
          <w:tcPr>
            <w:tcW w:w="200" w:type="dxa"/>
            <w:vAlign w:val="bottom"/>
          </w:tcPr>
          <w:p>
            <w:pPr>
              <w:spacing w:after="0"/>
              <w:rPr>
                <w:sz w:val="20"/>
                <w:szCs w:val="20"/>
                <w:color w:val="auto"/>
              </w:rPr>
            </w:pPr>
          </w:p>
        </w:tc>
        <w:tc>
          <w:tcPr>
            <w:tcW w:w="2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 excluding mobile devices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Adjusted EBITDA</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 mobile devices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paid for taxes,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capital expenditures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paid for interest,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66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net primarily includes the payment of a litigation settlement during the six months ended June 30, 2024 compared to the corresponding period in 2023.</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Information about Guarantors, Issuers of Guaranteed Securities, Affiliates Whose Securities Collateralize a Registrant’s Securities and Consolidated Subsidiaries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CCO Holdings, Charter Operating, Time Warner Cable, LLC and Time Warner Cable Enterprises LLC (collectively, the “Issuers”) and substantially all of Charter Operating’s direct and indirect subsidiaries (the “Obligor Subsidiaries” and together with the Issuers, collectively, the “Obligor Group” and each an “Obligor”) jointly, severally, fully and unconditionally guarantee the outstanding debt securities of the respective Issuers (other than the CCO Holdings unsecured notes) and Charter Operating’s credit facilities on a senior basis (collectively, the “Guaranteed and Secured Debt”). Such guarantees are pari passu in right of payment with all senior indebtedness of the guarantors and senior in right of payment to subordinated obligations of the guarantors. Each guarantee will be limited to the maximum amount that can be guaranteed by the relevant guarantor without rendering the relevant guarantee, as it relates to that guarantor, voidable or otherwise ineffective or limited under applicable law, and enforcement of each guarantee would be subject to certain generally available defenses. The Guaranteed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and Secured Debt is structurally subordinated to the creditors (including trade creditors) and preference shareholders (if any) of Charter Operating’s non-guarantor subsidiaries.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Guaranteed and Secured Debt and the subsidiary guarantees thereof are also secured by (i) a lien on substantially all of the assets of Charter Operating and the Obligor Subsidiaries, to the extent such lien can be perfected under the Uniform Commercial Code by the filing of a financing statement, and (ii) a pledge of substantially all of the equity interests of subsidiaries owned by Charter Operating or the Obligor Subsidiaries (the “Pledged Equity Interests”), as well as intercompany obligations owing to it by any of such entities ((i) and (ii) collectively, the “Collateral”). In addition, payments of a mortgage note, currently outstanding for approximately $289 million, incurred by a single-asset special purpose entity to finance construction of the first building of the Charter headquarters in Stamford, Connecticut are guaranteed by the Obligor Group and rank equally with the liens on the Collateral securing the Guaranteed and Secured Debt. No assets of any of Charter Operating’s non-guarantor subsidiaries (including any capital stock owned by any such subsidiary) will constitute Collateral. The subsidiary guarantees are effectively senior to all unsecured debt or debt secured by junior liens of the subsidiary guarantors, in each case to the extent of the value of the collateral securing the guarantee obligations of the subsidiary guarantors. Upon the occurrence and during the continuance of an event of default under the Guaranteed and Secured Debt, subject to the terms of an intercreditor agreement, the security documents governing the Guaranteed and Secured Debt provide for (among other available remedies) the foreclosure upon and sale of the Collateral by the collateral agent(s) of the respective Guaranteed and Secured Debt and the distribution of the net proceeds of any such sale to the holders and/or the lenders of the Guaranteed and Secured Debt on a pro rata basis, subject to any prior liens on the Collateral. We believe there is no separate trading market for the Pledged Equity Interests.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Charter Operating subsidiaries that are regulated entities are only designated as guarantor subsidiaries, and certain related assets (including the capital stock of such regulated entities) are only required to be pledged as Collateral, upon approval by regulators. The guaranteed obligations and collateral of an Obligor Subsidiary (including Pledged Equity Interests) may be released under certain circumstances permitted under the documentation governing the Guaranteed and Secured Debt, including if an Obligor Subsidiary no longer qualifies as a “Subsidiary” of Charter Operating under transactions not prohibited by the Charter Operating credit agreement.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2024, a bankruptcy remote special purpose vehicle and our consolidated subsidiary, CCO EIP Financing, LLC, (the “SPV Borrower”) entered into a senior secured revolving credit facility to finance the purchase of equipment installment plan receivables (“EIP Receivables”) with a number of financial institutions (the “EIP Financing Facility”). Borrowings under the EIP Financing Facility are secured by the EIP Receivables transferred to the SPV Borrower, future collections on such EIP Receivables, and related assets consisting primarily of restricted cash. We and our other subsidiaries do not guarantee any principal or interest payable by SPV Borrower under the EIP Financing Facility and SPV Borrower is not a guarantor of the Guaranteed and Secured Debt. As of June 30, 2024, the carrying value of the EIP Financing Facility was $873 million and is included in our consolidated balance sheets. As of June 30, 2024, pledged EIP Receivables with an unpaid principal balance of $1.3 billion, included in accounts receivable, net and other noncurrent assets, and restricted cash of $40 million, included in prepaid expenses and other current assets, are held by the SPV Borrower and reflected in our consolidated balance sheets.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8 to the consolidated financial statements contained in our 2023 Annual Report on Form 10-K for further details about the terms, conditions and other factors that may affect payments to holders and the collateral arrangements of the Guaranteed and Secured Debt.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Because the assets, liabilities and results of operations of the combined Obligor Group are not materially different than corresponding amounts presented in the consolidated financial statements of CCO Holdings, summarized financial information of the Obligor Group have been omitted pursuant to SEC Regulation S-X Rule 13-01, </w:t>
      </w:r>
      <w:r>
        <w:rPr>
          <w:rFonts w:ascii="Times New Roman" w:cs="Times New Roman" w:eastAsia="Times New Roman" w:hAnsi="Times New Roman"/>
          <w:sz w:val="18"/>
          <w:szCs w:val="18"/>
          <w:i w:val="1"/>
          <w:iCs w:val="1"/>
          <w:color w:val="auto"/>
        </w:rPr>
        <w:t>Financial Statements of Guarantors and Issuers of Guaranteed Securities Registered or Being Registered</w:t>
      </w:r>
      <w:r>
        <w:rPr>
          <w:rFonts w:ascii="Times New Roman" w:cs="Times New Roman" w:eastAsia="Times New Roman" w:hAnsi="Times New Roman"/>
          <w:sz w:val="18"/>
          <w:szCs w:val="18"/>
          <w:color w:val="auto"/>
        </w:rPr>
        <w:t xml:space="preserve"> and S-X Rule 13-02, </w:t>
      </w:r>
      <w:r>
        <w:rPr>
          <w:rFonts w:ascii="Times New Roman" w:cs="Times New Roman" w:eastAsia="Times New Roman" w:hAnsi="Times New Roman"/>
          <w:sz w:val="18"/>
          <w:szCs w:val="18"/>
          <w:i w:val="1"/>
          <w:iCs w:val="1"/>
          <w:color w:val="auto"/>
        </w:rPr>
        <w:t>Affiliates Whose Securities Collateralize Securities Registered Or Being Registered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Distributions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by us and our subsidiaries to a parent company for payment of principal on parent company notes are restricted under CCO Holdings indentures governing CCO Holdings' indebtedness, unless there is no default under the applicable indenture, and unless CCO Holdings' leverage ratio test is met at the time of such distribution. As of June 30, 2024, there was no default under any of these indentures, and CCO Holdings met its leverage ratio test based on June 30, 2024 financial results. There can be no assurance that CCO Holdings will satisfy its leverage ratio test at the time of the contemplated distribution.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limitation on distributions under the various indentures, distributions by our subsidiaries may be limited 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applicable law, including the Delaware Limited Liability Company Act, under which our subsidiaries may only make distributions if they have “surplus” as defined in the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Operating, Investing, and Financing Activities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held $412 million and $471 million in cash and cash equivalents as of June 30, 2024 and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In addition, we held $40 million in restricted cash included in prepaid and other current assets in our consolidated balance sheets as of June 30, 2024.</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increased $150 million during the six months ended June 30, 2024 compared to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2023, primarily due to an increase in Adjusted EBITDA and favorable changes in working capital, partly offset by the payment of litigation settlements in 2024 and an increase in cash paid for interest.</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$5.6 billion for both the six months ended June 30, 2024 and 2023 driven by an increase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expenditures, offset by changes in accrued expenses related to capital expenditures.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increased $17 million during the six months ended June 30, 2024 compared to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2023 primarily due to an increase in the amount by which repayments of long-term debt exceeded borrowings, partly offset by a decrease in distributions to parent companies.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significant ongoing capital expenditure requirements. Capital expenditures were $2.9 billion and $5.6 billion for the three and six months ended June 30, 2024, respectively, and $2.8 billion and $5.3 billion for the three and six months ended June 30, 2023, respectively. The increase during the six months ended June 30, 2024 as compared to the corresponding prior year period was primarily driven by higher spend on network evolution and an increase in line extensions in connection with our subsidized rural construction initiative and continued residential and commercial network expansion, as well as an increase in customer premise equipment, particularly Xumo. See the table below for more details.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full year 2024 capital expenditures to total approximately $12.0 billion, including line extensions of approximately $4.5 billion and network evolution spend of approximately $1.6 billion. The actual amount of capital expenditures in 2024 will depend on a number of factors including, but not limited to, the pace of our network evolution and expansion initiatives, supply chain timing and growth rates in our residential and commercial businesses.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are funded primarily from cash flows from operating activities and borrowings on our credit facility. In addition, our accrued expenses related to capital expenditures increased by $233 million and decreased by $4 million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major capital expenditures categories in accordance with National Cable and Telecommunications Association (“NCTA”) disclosure guidelines for the three and six months ended June 30, 2024 and 2023. These disclosure guidelines are not required disclosures under GAAP, nor do they impact our accounting for capital expenditures under GAAP (dollars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1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8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Customer premise equipment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29"/>
        </w:trPr>
        <w:tc>
          <w:tcPr>
            <w:tcW w:w="48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Scalable infrastructure </w:t>
            </w:r>
            <w:r>
              <w:rPr>
                <w:rFonts w:ascii="Times New Roman" w:cs="Times New Roman" w:eastAsia="Times New Roman" w:hAnsi="Times New Roman"/>
                <w:sz w:val="23"/>
                <w:szCs w:val="23"/>
                <w:color w:val="auto"/>
                <w:vertAlign w:val="superscript"/>
              </w:rPr>
              <w:t>(b)</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48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Upgrade/rebuild </w:t>
            </w:r>
            <w:r>
              <w:rPr>
                <w:rFonts w:ascii="Times New Roman" w:cs="Times New Roman" w:eastAsia="Times New Roman" w:hAnsi="Times New Roman"/>
                <w:sz w:val="23"/>
                <w:szCs w:val="23"/>
                <w:color w:val="auto"/>
                <w:vertAlign w:val="superscript"/>
              </w:rPr>
              <w:t>(c)</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488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Support capital </w:t>
            </w:r>
            <w:r>
              <w:rPr>
                <w:rFonts w:ascii="Times New Roman" w:cs="Times New Roman" w:eastAsia="Times New Roman" w:hAnsi="Times New Roman"/>
                <w:sz w:val="23"/>
                <w:szCs w:val="23"/>
                <w:color w:val="auto"/>
                <w:vertAlign w:val="superscript"/>
              </w:rPr>
              <w:t>(d)</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line extensions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88"/>
        </w:trPr>
        <w:tc>
          <w:tcPr>
            <w:tcW w:w="4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3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Subsidized rural construction line extensions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line extensions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23"/>
        </w:trPr>
        <w:tc>
          <w:tcPr>
            <w:tcW w:w="488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line extensions </w:t>
            </w:r>
            <w:r>
              <w:rPr>
                <w:rFonts w:ascii="Times New Roman" w:cs="Times New Roman" w:eastAsia="Times New Roman" w:hAnsi="Times New Roman"/>
                <w:sz w:val="23"/>
                <w:szCs w:val="23"/>
                <w:color w:val="auto"/>
                <w:vertAlign w:val="superscript"/>
              </w:rPr>
              <w:t>(e)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6"/>
        </w:trPr>
        <w:tc>
          <w:tcPr>
            <w:tcW w:w="48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which:</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services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48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Subsidized rural construction initiative </w:t>
            </w:r>
            <w:r>
              <w:rPr>
                <w:rFonts w:ascii="Times New Roman" w:cs="Times New Roman" w:eastAsia="Times New Roman" w:hAnsi="Times New Roman"/>
                <w:sz w:val="23"/>
                <w:szCs w:val="23"/>
                <w:color w:val="auto"/>
                <w:vertAlign w:val="superscript"/>
              </w:rPr>
              <w:t>(f)</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Mobile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319" w:lineRule="exact"/>
        <w:rPr>
          <w:sz w:val="20"/>
          <w:szCs w:val="20"/>
          <w:color w:val="auto"/>
        </w:rPr>
      </w:pPr>
    </w:p>
    <w:p>
      <w:pPr>
        <w:ind w:left="340" w:hanging="332"/>
        <w:spacing w:after="0" w:line="229" w:lineRule="auto"/>
        <w:tabs>
          <w:tab w:leader="none" w:pos="335"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premise equipment includes equipment and devices located at the customer's premise used to deliver our Internet, video and voice services (e.g., modems, routers and set-top boxes), as well as installation costs.</w:t>
      </w:r>
    </w:p>
    <w:p>
      <w:pPr>
        <w:ind w:left="340" w:hanging="332"/>
        <w:spacing w:after="0" w:line="21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Scalable infrastructure includes costs, not related to customer premise equipment or our network, to secure growth of new customers or provide service enhancements (e.g., headend equipment).</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Upgrade/rebuild includes costs to modify or replace existing fiber/coaxial cable networks, including our network evolution initiative.</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Support capital includes costs associated with the replacement or enhancement of non-network assets (e.g., back-office systems, non-network equipment, land and buildings, vehicles, tools and test equipment).</w:t>
      </w:r>
    </w:p>
    <w:p>
      <w:pPr>
        <w:ind w:left="340" w:hanging="332"/>
        <w:spacing w:after="0" w:line="219" w:lineRule="auto"/>
        <w:tabs>
          <w:tab w:leader="none" w:pos="335"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Line extensions include network costs associated with entering new service areas (e.g., fiber/coaxial cable, amplifiers, electronic equipment, make-ready and design engineering).</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35"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subsidized rural construction initiative subcategory includes projects for which we are receiving subsidies from federal, state and local governments, excluding customer premise equipment and installation.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19 to the Annual Report on Form 10-K for the year ended December 31, 2023 for a discussion of recently issued accounting standards. There have been no material changes from the recently issued accounting standards described in our Form 10-K.</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interest rate risk as previously disclosed in Part II, Item 7A of our Annual Report on Form 10-K for the year ended December 31, 2023.</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under the supervision and with the participation of our management, including our Chief Executive Officer and Chief Financial Officer, we have evaluated the effectiveness of our design and operation of disclosure controls and procedures with respect to the information generated for use in this quarterly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Securities Exchange Act of 1934 is recorded, processed, summarized and reported within the time periods specified in the SEC’s rules and forms.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evaluation, we believe that our controls provide such reasonable assurances.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there was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17 to our Annual Report on Form 10-K for the year ended December 31, 2023 for a discussion of legal proceedings, as updated by Note 11 to the accompanying consolidated financial statements contained in “Item 1. Financial Statements” of this quarterly report. Within this section, we use a threshold of $1 million in disclosing environmental proceedings involving a governmental authority, if any.</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2023 includes "Risk Factors" under Item 1A of Part I. There have been no material changes from the risk factors described in our Form 10-K except as described below.</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existing legal and regulatory framework under which we operate or the regulatory programs in which we or our competitors participate could adversely affect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ongoing efforts to amend or expand the federal, state and local regulation of some of the services offered over our cable systems, particularly our retail broadband Internet access service. Potential legislative and regulatory changes could adversely impact our business by increasing our costs and competition and limiting our ability to offer services in a manner that would maximize our revenue potential. These changes have in the past, and could in the future, include, for example, the reclassification of Internet services as regulated telecommunications services or other utility-style regulation of Internet services; restrictions on how we manage our Internet access services and networks; the adoption of new customer service or service quality requirements for our Internet access services; the adoption of new privacy restrictions on our collection, use and disclosure of certain customer information; new data security and cybersecurity mandates that could result in additional network and information security and cyber incident reporting requirements for our business; new restraints on our discretion over programming decisions; new restrictions on the rates we charge to consumers for one or more of the services or equipment options we offer; changes to the cable industry’s compulsory copyright to retransmit broadcast signals; new requirements to assure the availability of navigation devices from third-party providers; new Universal Service Fund contribution obligations on our Internet service revenues that would add to the cost of that service; increases in government-administered broadband subsidies to rural areas that could result in subsidized overbuilding of our facilities; changes to the Federal Communications Commission’s ("FCC") administration of spectrum; pending court challenges to the legality of the FCC’s Universal Service programs, which, if successful, could adversely affect our receipt of universal service funds, including but not limited to FCC Rural Development Opportunity Fund (“RDOF”) grants to expand our network, FCC E-rate funds to serve schools and libraries and FCC Rural Health Care funds to serve eligible health care providers; and changes in the regulatory framework for voice over Internet protocol ("VoIP") telephone service, including the scope of regulatory obligations associated with our VoIP telephone service and our ability to interconnect our VoIP telephone service with incumbent providers of traditional telecommunications service.</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participated in the ACP and continue to participate in the RDOF subsidy program. The ACP program previously provided up to a $30 monthly subsidy enabling eligible low-income households to purchase our Internet products at a discount or, for a portion of those households, at no cost. The FCC prohibited service providers from enrolling new participants into the ACP after February 7, 2024 and April 2024 was the last month ACP households received the full ACP subsidy. ACP households received a $14 federally funded ACP subsidy in May 2024. As of June 1, 2024, ACP households no longer received the ACP benefit. The end of the ACP benefit has been, and will continue to be, disruptive to our business. We have lost and will continue to lose customers and revenues and could face greater difficulty in providing services to low-income households in the future.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winning bidder in the FCC’s RDOF auction in 2020, we must comply with numerous FCC and state requirements to continue receiving such funding. To comply with these requirements, in RDOF areas, we have chosen to offer certain of our VoIP telephone services, such as our Lifeline services, subject to certain traditional federal and state common carrier regulations. Additionally, in some areas where we are building pursuant to subsidy programs, we will offer certain of our broadband Internet access services subject to required discounts and other marketing-related terms. If we fail to comply with those requirements, the governing regulatory agency could consider us in default and we could incur substantial penalties or forfeitures. If we fail to attain certain specified infrastructure build-out requirements under the RDOF program, the FCC could also withhold future support payments until those shortcomings are corrected. Any failure to comply with the rules and requirements of a subsidy grant could result in us being suspended or disbarred from future governmental programs or contracts for a significant period of time, which could adversely affect our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Participation in ACP, RDOF, and other government programs, including state subsidized builds, creates the risk of claims of our failure to adequately comply with the regulatory requirements of those programs. The FCC, and various state and federal agencies and attorney generals, may subject those programs, or other industry practices, to audits and investigations, which could result in enforcement actions, litigation, fines, settlements or reputational harm, and/or operational and financial conditions being placed on us, any of which could adversely affect our results of operations and financial condition.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laws or regulations are enacted that would expand the regulation of our services, they could affect our operations and require significant expenditures. We cannot predict future developments in these areas, and any changes to the regulatory framework for our Internet, video, mobile or VoIP services could have a negative impact on our business and results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remains uncertain what rule changes, if any, will ultimately be adopted by Congress, the FCC, the Federal Trade Commission and state legislatures and regulatory agencies, and what operating or financial impact any such rules might have on us, including on the operation of our broadband networks, customer privacy and the user experience.</w:t>
      </w:r>
    </w:p>
    <w:p>
      <w:pPr>
        <w:spacing w:after="0" w:line="19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23, 2024, Charter entered into an employment agreement (the “Agreement”) with Kevin Howard, our Executive Vice President, Chief Accounting Officer and Controller.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which is effective as of July 26, 2024, has a term ending July 26, 2026 (or upon an earlier termination of employment) and provides that Mr. Howard will continue to serve as Executive Vice President, Chief Accounting Officer and Controller. The Agreement provides that Mr. Howard will receive an annual base salary of at least $625,000 and a target annual cash bonus opportunity of 85% of his annual base salary.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Howard will also continue to participate in Charter’s employee benefit plans and receive perquisites as generally provided to other senior executives of Charter. In addition, consistent with Mr. Howard’s prior employment agreement, Charter will continue to reimburse Mr. Howard for all reasonable and necessary expenses incurred in connection with the performance of his duties.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employment of Mr. Howard is terminated involuntarily by us without cause or by him for good reason, he would be entitled to (a) a cash severance payment equal to two times the sum of his annual base salary and target annual bonus opportunity for the year in which the termination occurs, (b) a cash payment equal to the cost of COBRA coverage for 24 months, and (c) outplacement services for up to 12 months.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termination benefits described above are subject to Mr. Howard’s execution of a release of claims in favor of Charter and its affiliates. In addition, Mr. Howard has agreed to comply with covenants concerning non-disclosure of confidential information, assignment of intellectual property and non-disparagement of Charter and, for two years following termination, covenants concerning non-competition and non-solicitation of customers of Charter and its affiliates and, for one year following termination, covenants concerning non-solicitation of employees of Charter and its affiliates.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Agreement is incorporated by reference herewith as Exhibit 10.4. The foregoing description of the Agreement does not purport to be complete and is qualified in its entirety by reference to the full text of that document.</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CCO Holdings, LLC and CCO Holdings Capital Corp. have duly caused this quarterly report to be signed on their behalf by the undersigned, thereunto duly authorized.</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CCO HOLDINGS, LLC</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By:</w:t>
            </w:r>
          </w:p>
        </w:tc>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488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2024</w:t>
            </w: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CCO HOLDINGS CAPITAL CORP.</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8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By:</w:t>
            </w:r>
          </w:p>
        </w:tc>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488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2024</w:t>
            </w: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40" w:type="dxa"/>
            <w:vAlign w:val="bottom"/>
            <w:gridSpan w:val="20"/>
          </w:tcPr>
          <w:p>
            <w:pPr>
              <w:ind w:left="1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44"/>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8"/>
        </w:trPr>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80" w:type="dxa"/>
            <w:vAlign w:val="bottom"/>
            <w:tcBorders>
              <w:top w:val="single" w:sz="8" w:color="auto"/>
            </w:tcBorders>
            <w:gridSpan w:val="23"/>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Indenture, dated as of July 23, 2015, among Charter Communications Operating, LLC, Charter Communications Operating Capital</w:t>
              </w:r>
            </w:hyperlink>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Corp. and CCO Safari II, LLC, as issuers, and The Bank of New York Mellon Trust Company, N.A., as trustee and collateral agent</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14"/>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(incorporated by reference to Exhibit 4.1 to the Current Report on Form 8-K filed by Charter Communications, Inc. on July 27,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Twenty-Fifth Supplemental Indenture, dated as of May 14, 2024, among Charter Communications Operating, LLC, Charter</w:t>
              </w:r>
            </w:hyperlink>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19"/>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Form 8-K filed by Charter Communications, Inc. on May 14, 2024).</w:t>
              </w:r>
            </w:hyperlink>
          </w:p>
        </w:tc>
        <w:tc>
          <w:tcPr>
            <w:tcW w:w="49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of 6.100% Senior Secured Notes due 2029 (included in Exhibit 4.2 hereto).</w:t>
              </w:r>
            </w:hyperlink>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of 6.550% Senior Secured Notes due 2034 (included in Exhibit 4.2 hereto).</w:t>
              </w:r>
            </w:hyperlink>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Charter Communications, Inc. 2019 Stock Incentive Plan (incorporated by reference to Annex A to the definitive proxy statement for the</w:t>
              </w:r>
            </w:hyperlink>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Charter Communications, Inc. 2019 Annual Meeting of Stockholders filed on March 14, 2019).</w:t>
              </w:r>
            </w:hyperlink>
          </w:p>
        </w:tc>
        <w:tc>
          <w:tcPr>
            <w:tcW w:w="316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Amendment to the Charter Communications, Inc. 2019 Stock Incentive Plan, dated as of January 28, 2020 (incorporated by reference to</w:t>
              </w:r>
            </w:hyperlink>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Exhibit 10.152 to the Annual Report on Form 10-K of Charter Communications, Inc. filed on January 31, 2020).</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960" w:type="dxa"/>
            <w:vAlign w:val="bottom"/>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Second Amendment to the Charter Communications, Inc. 2019 Stock Incentive Plan, dated as of April 23, 2024 (incorporated by</w:t>
              </w:r>
            </w:hyperlink>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reference to Appendix B to the definitive proxy statement for the Charter Communications, Inc. 2024 Annual Meeting of Stockholders</w:t>
              </w:r>
            </w:hyperlink>
          </w:p>
        </w:tc>
        <w:tc>
          <w:tcPr>
            <w:tcW w:w="20" w:type="dxa"/>
            <w:vAlign w:val="bottom"/>
            <w:tcBorders>
              <w:bottom w:val="single" w:sz="8" w:color="0000FF"/>
            </w:tcBorders>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gridSpan w:val="16"/>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filed on March 14, 2024).</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Employment Agreement, dated July 23, 2024, by and between Charter Communications, Inc. and Kevin D. Howard (incorporated by</w:t>
              </w:r>
            </w:hyperlink>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reference to Exhibit 10.4 to the Quarterly Report on Form 10-Q filed by Charter Communications, Inc. on July 26, 2024).</w:t>
              </w:r>
            </w:hyperlink>
          </w:p>
        </w:tc>
        <w:tc>
          <w:tcPr>
            <w:tcW w:w="20" w:type="dxa"/>
            <w:vAlign w:val="bottom"/>
          </w:tcPr>
          <w:p>
            <w:pPr>
              <w:spacing w:after="0"/>
              <w:rPr>
                <w:sz w:val="14"/>
                <w:szCs w:val="14"/>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Issuers and Guarantors of Guaranteed Securities and Affiliate Securities Pledged as Collateral.</w:t>
            </w:r>
          </w:p>
        </w:tc>
        <w:tc>
          <w:tcPr>
            <w:tcW w:w="1940" w:type="dxa"/>
            <w:vAlign w:val="bottom"/>
            <w:tcBorders>
              <w:top w:val="single" w:sz="8" w:color="0000FF"/>
            </w:tcBorders>
            <w:gridSpan w:val="3"/>
          </w:tcPr>
          <w:p>
            <w:pPr>
              <w:spacing w:after="0"/>
              <w:rPr>
                <w:sz w:val="18"/>
                <w:szCs w:val="18"/>
                <w:color w:val="auto"/>
              </w:rPr>
            </w:pPr>
          </w:p>
        </w:tc>
        <w:tc>
          <w:tcPr>
            <w:tcW w:w="1340" w:type="dxa"/>
            <w:vAlign w:val="bottom"/>
            <w:gridSpan w:val="14"/>
          </w:tcPr>
          <w:p>
            <w:pPr>
              <w:spacing w:after="0"/>
              <w:rPr>
                <w:sz w:val="18"/>
                <w:szCs w:val="18"/>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13a-14(a)/Rule 15d-14(a) under the under the Securities Exchange Act of 1934.</w:t>
            </w:r>
          </w:p>
        </w:tc>
        <w:tc>
          <w:tcPr>
            <w:tcW w:w="340" w:type="dxa"/>
            <w:vAlign w:val="bottom"/>
            <w:gridSpan w:val="11"/>
          </w:tcPr>
          <w:p>
            <w:pPr>
              <w:spacing w:after="0"/>
              <w:rPr>
                <w:sz w:val="18"/>
                <w:szCs w:val="18"/>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13a-14(a)/Rule 15d-14(a) under the Securities Exchange Act of 1934.</w:t>
            </w:r>
          </w:p>
        </w:tc>
        <w:tc>
          <w:tcPr>
            <w:tcW w:w="1100" w:type="dxa"/>
            <w:vAlign w:val="bottom"/>
            <w:gridSpan w:val="13"/>
          </w:tcPr>
          <w:p>
            <w:pPr>
              <w:spacing w:after="0"/>
              <w:rPr>
                <w:sz w:val="18"/>
                <w:szCs w:val="18"/>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w:t>
            </w:r>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Executive Officer).</w:t>
            </w:r>
          </w:p>
        </w:tc>
        <w:tc>
          <w:tcPr>
            <w:tcW w:w="40" w:type="dxa"/>
            <w:vAlign w:val="bottom"/>
            <w:gridSpan w:val="2"/>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Financial</w:t>
            </w:r>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Officer).</w:t>
            </w:r>
          </w:p>
        </w:tc>
        <w:tc>
          <w:tcPr>
            <w:tcW w:w="9400" w:type="dxa"/>
            <w:vAlign w:val="bottom"/>
            <w:tcBorders>
              <w:top w:val="single" w:sz="8" w:color="0000FF"/>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r>
    </w:tbl>
    <w:p>
      <w:pPr>
        <w:spacing w:after="0" w:line="22" w:lineRule="exact"/>
        <w:rPr>
          <w:sz w:val="20"/>
          <w:szCs w:val="20"/>
          <w:color w:val="auto"/>
        </w:rPr>
      </w:pPr>
    </w:p>
    <w:p>
      <w:pPr>
        <w:jc w:val="both"/>
        <w:ind w:left="1340" w:right="20" w:hanging="1314"/>
        <w:spacing w:after="0" w:line="223"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CCO Holdings, LLC’s Quarterly Report on Form 10-Q for the three and six months ended June 30, 2024, filed with the Securities and Exchange Commission on July 26, 2024, formatted in iXBRL (inline eXtensible Business Reporting Language) includes: (i) the Consolidated Balance Sheets; (ii) the Consolidated Statements of Operations; (iii) the Consolidated Statements of Changes in Member's Equity; (iv) the Consolidated Statements of Cash Flows; and (vi) the Notes to the Consolidated Financial Statements.</w:t>
      </w:r>
    </w:p>
    <w:p>
      <w:pPr>
        <w:spacing w:after="0" w:line="2" w:lineRule="exact"/>
        <w:rPr>
          <w:sz w:val="20"/>
          <w:szCs w:val="20"/>
          <w:color w:val="auto"/>
        </w:rPr>
      </w:pPr>
    </w:p>
    <w:p>
      <w:pPr>
        <w:ind w:left="1340" w:hanging="1314"/>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in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E-1</w:t>
      </w:r>
    </w:p>
    <w:p>
      <w:pPr>
        <w:sectPr>
          <w:pgSz w:w="11900" w:h="16838" w:orient="portrait"/>
          <w:cols w:equalWidth="0" w:num="1">
            <w:col w:w="11240"/>
          </w:cols>
          <w:pgMar w:left="320" w:top="1022"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Issuers and Guarantors of Guaranteed Securities and Affiliate Securities Pledged as Collateral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as of June 30, 2024</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CCO Holdings, LLC, a Delaware limited liability company (the “Company”) and each of the CCOH Obligor Subsidiaries (as defined below), have fully and unconditionally guaranteed on a joint, several, full and unconditional basis each of the debt securities listed below, unless such subsidiary is an issuer of the listed debt security. Such guarantees are secured by substantially all of the assets of the CCOH Obligor Subsidiaries, including a pledge of the equity interests of substantially all of the subsidiaries owned by CCO and the other CCOH Obligor Subsidiaries (the “Pledged Equity Interests”).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Debt Securities Issued by Charter Communications Operating, LLC (“CCO”) and Charter Communications Operating Capital Corp. (“CCO Capital”), guaranteed by the Company and each of the CCOH Obligor Subsidiaries (as defined below, other than CCO and CCO Capital) and secured by the Pledged Equity Interests: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4.908% senior notes due July 23, 2025</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6.150% senior notes due November 10, 2026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3.750% senior notes due February 15, 2028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4.200% senior notes due March 15, 2028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2.250% senior notes due January 15, 2029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5.050% senior notes due March 30, 2029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6.100% senior notes due June 1, 2029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2.800% senior notes due April 1, 2031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2.300% senior notes due February 1, 2032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4.400% senior notes due April 1, 2033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6.650% senior notes due February 1, 2034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6.550% senior notes due June 1, 2034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6.384% senior notes due October 23, 2035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5.375% senior notes due April 1, 2038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3.500% senior notes due June 1, 2041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3.500% senior notes due March 1, 2042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6.484% senior notes due October 23, 2045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5.375% senior notes due May 1, 2047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5.750% senior notes due April 1, 2048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5.125% senior notes due July 1, 2049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4.800% senior notes due March 1, 2050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3.700% senior notes due April 1, 2051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3.900% senior notes due June 1, 2052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5.250% senior notes due April 1, 2053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6.834% senior notes due October 23, 2055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3.850% senior notes due April 1, 2061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4.400% senior notes due December 1, 2061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3.950% senior notes due June 30, 2062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5.500% senior notes due April 1, 2063</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Debt Securities Issued by Time Warner Cable, LLC (“TWC”), guaranteed by the Company and each of the CCOH Obligor Subsidiaries (as defined below, other than TWC) and secured by the Pledged Equity Interests: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5.750% sterling senior notes due June 2, 2031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6.550% senior debentures due May 1, 2037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7.300% senior debentures due July 1, 2038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6.750% senior debentures due June 15, 2039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5.875% senior debentures due November 15, 2040</w:t>
      </w:r>
    </w:p>
    <w:p>
      <w:pPr>
        <w:sectPr>
          <w:pgSz w:w="11900" w:h="16838" w:orient="portrait"/>
          <w:cols w:equalWidth="0" w:num="1">
            <w:col w:w="11240"/>
          </w:cols>
          <w:pgMar w:left="320" w:top="117"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5.500% senior debentures due September 1, 2041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5.250% sterling senior notes due July 15, 2042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4.500% senior debentures due September 15, 2042</w:t>
      </w:r>
    </w:p>
    <w:p>
      <w:pPr>
        <w:spacing w:after="0" w:line="2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Debt Securities Issued by Time Warner Cable Enterprises LLC (“TWCE”), guaranteed by the Company and each of the CCOH Obligor Subsidiaries (as defined below, other than TWCE) and secured by the Pledged Equity Interests: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8.375% senior debentures due July 15, 2033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“CCOH Obligor Subsidiaries”: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Bresnan Broadband Holdings,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CCO NR Holdings,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Advanced Services (MO),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ASC,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Operating Capital Corp.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SSC,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VI HoldCo,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VI,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Distribution,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Leasing Holding Company,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Procurement Leasing,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DukeNet Communications,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Advanced Services,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Gulf Coast,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Mid-America,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Mobile Equipment,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Mobile,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New York Metro,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NLP,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Northeast,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Oceanic,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Originals Development,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Originals,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Pacific West,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Reach,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RSN,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Southeast,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Sunshine State,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TV Essentials,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Wireless Holdings,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Warner Cable Enterprises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Warner Cable,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TWC Administration LLC</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TWC Communications, LLC</w:t>
      </w:r>
    </w:p>
    <w:p>
      <w:pPr>
        <w:ind w:left="660"/>
        <w:spacing w:after="0"/>
        <w:rPr>
          <w:sz w:val="20"/>
          <w:szCs w:val="20"/>
          <w:color w:val="auto"/>
        </w:rPr>
      </w:pPr>
      <w:r>
        <w:rPr>
          <w:rFonts w:ascii="Times New Roman" w:cs="Times New Roman" w:eastAsia="Times New Roman" w:hAnsi="Times New Roman"/>
          <w:sz w:val="18"/>
          <w:szCs w:val="18"/>
          <w:color w:val="auto"/>
        </w:rPr>
        <w:t>TWC SEE Holdco LLC</w:t>
      </w:r>
    </w:p>
    <w:p>
      <w:pPr>
        <w:sectPr>
          <w:pgSz w:w="11900" w:h="16838" w:orient="portrait"/>
          <w:cols w:equalWidth="0" w:num="1">
            <w:col w:w="11240"/>
          </w:cols>
          <w:pgMar w:left="320" w:top="14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Winfrey, certify that:</w:t>
      </w:r>
    </w:p>
    <w:p>
      <w:pPr>
        <w:spacing w:after="0" w:line="33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CCO Holdings, LLC and CCO Holdings Capital Corp.;</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26,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L. Winfrey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M. Fischer, certify that:</w:t>
      </w:r>
    </w:p>
    <w:p>
      <w:pPr>
        <w:spacing w:after="0" w:line="33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CCO Holdings, LLC and CCO Holdings Capital Corp.;</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26,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M. Fischer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EXECUTIVE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Christopher L. Winfrey, the President and Chief Executive Officer of CCO Holdings, LLC and CCO Holdings Capital Corp. (the "Company") in compliance with 18 U.S.C. Section 1350, as adopted pursuant to Section 906 of the Sarbanes-Oxley Act of 2002, hereby certify that, the Company's Quarterly Report on Form 10-Q for the three and six ended June 30, 2024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18688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L. Winfrey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July 26, 2024</w:t>
      </w:r>
    </w:p>
    <w:p>
      <w:pPr>
        <w:sectPr>
          <w:pgSz w:w="11900" w:h="16838" w:orient="portrait"/>
          <w:cols w:equalWidth="0" w:num="1">
            <w:col w:w="11240"/>
          </w:cols>
          <w:pgMar w:left="320" w:top="12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FINANCIAL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Jessica M. Fischer, the Chief Financial Officer of CCO Holdings, LLC and CCO Holdings Capital Corp. (the "Company"), in compliance with 18 U.S.C. Section 1350, as adopted pursuant to Section 906 of the Sarbanes-Oxley Act of 2002, hereby certify that, the Company's Quarterly Report on Form 10-Q for the three and six ended June 30, 2024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34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Jessica M. Fischer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July 26, 2024</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6"/>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57" Type="http://schemas.openxmlformats.org/officeDocument/2006/relationships/hyperlink" Target="https://www.sec.gov/Archives/edgar/data/1091667/000109166715000177/exh41chtr723158k.htm" TargetMode="External"/><Relationship Id="rId58" Type="http://schemas.openxmlformats.org/officeDocument/2006/relationships/hyperlink" Target="https://www.sec.gov/Archives/edgar/data/1091667/000110465924061218/tm2414297d1_ex4-2.htm" TargetMode="External"/><Relationship Id="rId59" Type="http://schemas.openxmlformats.org/officeDocument/2006/relationships/hyperlink" Target="https://www.sec.gov/Archives/edgar/data/1091667/000119312519074765/d717086ddef14a.htm" TargetMode="External"/><Relationship Id="rId60" Type="http://schemas.openxmlformats.org/officeDocument/2006/relationships/hyperlink" Target="https://www.sec.gov/Archives/edgar/data/1091667/000109166720000024/chtr12312019exh-10152.htm" TargetMode="External"/><Relationship Id="rId61" Type="http://schemas.openxmlformats.org/officeDocument/2006/relationships/hyperlink" Target="https://www.sec.gov/ix?doc=/Archives/edgar/data/1091667/000119312524067965/d534477ddef14a.htm" TargetMode="External"/><Relationship Id="rId62" Type="http://schemas.openxmlformats.org/officeDocument/2006/relationships/hyperlink" Target="https://www.sec.gov/Archives/edgar/data/1091667/000109166724000104/chtr6302024exh-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2024-07-26T06:22:44Z</dcterms:created>
  <dcterms:modified xsi:type="dcterms:W3CDTF">2024-07-26T06:22:44Z</dcterms:modified>
</cp:coreProperties>
</file>