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2688.xml.htm"/>
      <w:bookmarkStart w:id="1" w:name="kswkform4_17876026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DiGeronimo Richard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CHARTER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President-Product &amp; Technology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149.395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151,872</w:t>
            </w:r>
            <w:r>
              <w:rPr>
                <w:rFonts w:ascii="Times;serif" w:hAnsi="Times;serif"/>
                <w:color w:val="008000"/>
                <w:position w:val="7"/>
                <w:sz w:val="16"/>
                <w:sz w:val="20"/>
                <w:shd w:fill="FFFFFF" w:val="clear"/>
              </w:rPr>
              <w:t>(1)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151,872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151,872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58,988</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58,988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options granted on August 20, 2026 under the Charter Communications, Inc. 2019 Stock Incentive Plan in connection with the closing of the previously announced transactions contemplated by the Transaction Agreement by and among Charter Communications, Inc., Charter Communications Holdings, LLC and Cox Enterprises, Inc. (the "Cox Transactions"); 100% of the grant will vest on the fourth anniversary of the grant date, August 20, 2030. Such options will terminate 10 years from the grant date unless terminated sooner in accordance with the plan or grant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 grant - price and expiration date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granted on August 20, 2026 under the Charter Communications, Inc. 2019 Stock Incentive Plan in connection with the closing of the Cox Transactions; 50% of the grant will vest on the second anniversary of the grant date, August 20, 2028, and 50% of the grant will vest on the fourth anniversary of the grant date, August 20, 2030.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/s/Jennifer A. Smith as attorney-in-fact for Richard J. DiGeronimo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1586" TargetMode="External"/><Relationship Id="rId5" Type="http://schemas.openxmlformats.org/officeDocument/2006/relationships/hyperlink" Target="http://www.sec.gov/cgi-bin/browse-edgar?action=getcompany&amp;CIK=000109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4136</Characters>
  <CharactersWithSpaces>4807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